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drawingml.chart+xml" PartName="/word/charts/chart8.xml"/>
  <Override ContentType="application/vnd.ms-office.chartcolorstyle+xml" PartName="/word/charts/colors1.xml"/>
  <Override ContentType="application/vnd.ms-office.chartstyle+xml" PartName="/word/charts/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5AC4" w14:textId="77777777" w:rsidR="00C556F3" w:rsidRPr="001178C4" w:rsidRDefault="00C556F3" w:rsidP="004B3229">
      <w:pPr>
        <w:jc w:val="center"/>
        <w:rPr>
          <w:b/>
          <w:bCs/>
          <w:sz w:val="28"/>
          <w:szCs w:val="28"/>
        </w:rPr>
      </w:pPr>
      <w:r w:rsidRPr="001178C4">
        <w:rPr>
          <w:b/>
          <w:bCs/>
          <w:sz w:val="28"/>
          <w:szCs w:val="28"/>
        </w:rPr>
        <w:t>Os Contact Centers na Central de Balanços do Banco de Portugal</w:t>
      </w:r>
    </w:p>
    <w:p w14:paraId="3F7F5891" w14:textId="77777777" w:rsidR="00AE0B00" w:rsidRDefault="00AE0B00">
      <w:pPr>
        <w:rPr>
          <w:highlight w:val="yellow"/>
        </w:rPr>
      </w:pPr>
    </w:p>
    <w:p w14:paraId="624CB558" w14:textId="34C879C6" w:rsidR="00C233CC" w:rsidRPr="001178C4" w:rsidRDefault="00C233CC" w:rsidP="00C233CC">
      <w:pPr>
        <w:jc w:val="both"/>
        <w:rPr>
          <w:sz w:val="24"/>
          <w:szCs w:val="24"/>
        </w:rPr>
      </w:pPr>
      <w:r w:rsidRPr="001178C4">
        <w:rPr>
          <w:sz w:val="24"/>
          <w:szCs w:val="24"/>
        </w:rPr>
        <w:t>O Relatório da Central de Balanços do Banco de Portugal, englobando os dados extraídos das apresentações pelas Empresas das Contas do exercício de 201</w:t>
      </w:r>
      <w:r w:rsidR="001178C4">
        <w:rPr>
          <w:sz w:val="24"/>
          <w:szCs w:val="24"/>
        </w:rPr>
        <w:t>9</w:t>
      </w:r>
      <w:r w:rsidRPr="001178C4">
        <w:rPr>
          <w:sz w:val="24"/>
          <w:szCs w:val="24"/>
        </w:rPr>
        <w:t xml:space="preserve"> foi publicado no passado dia 10 de novembro.</w:t>
      </w:r>
    </w:p>
    <w:p w14:paraId="7CF05C60" w14:textId="77777777" w:rsidR="00912EA6" w:rsidRPr="001178C4" w:rsidRDefault="00C233CC" w:rsidP="00C233CC">
      <w:pPr>
        <w:jc w:val="both"/>
        <w:rPr>
          <w:sz w:val="24"/>
          <w:szCs w:val="24"/>
        </w:rPr>
      </w:pPr>
      <w:r w:rsidRPr="001178C4">
        <w:rPr>
          <w:sz w:val="24"/>
          <w:szCs w:val="24"/>
        </w:rPr>
        <w:t xml:space="preserve">Sem prejuízo de natural expectativa com que se aguarda </w:t>
      </w:r>
      <w:r w:rsidR="00912EA6" w:rsidRPr="001178C4">
        <w:rPr>
          <w:sz w:val="24"/>
          <w:szCs w:val="24"/>
        </w:rPr>
        <w:t>a</w:t>
      </w:r>
      <w:r w:rsidRPr="001178C4">
        <w:rPr>
          <w:sz w:val="24"/>
          <w:szCs w:val="24"/>
        </w:rPr>
        <w:t xml:space="preserve"> edição que, no próximo ano, tratará os dados </w:t>
      </w:r>
      <w:r w:rsidR="00912EA6" w:rsidRPr="001178C4">
        <w:rPr>
          <w:sz w:val="24"/>
          <w:szCs w:val="24"/>
        </w:rPr>
        <w:t>do corrente ano de 2020, pelas vicissitudes que o Setor e o País vão suportando, este tratamento de informação é relevante para a compreensão da situação da nossa Indústria, nos seus mais variados aspetos.</w:t>
      </w:r>
    </w:p>
    <w:p w14:paraId="4A26C1F8" w14:textId="77777777" w:rsidR="00912EA6" w:rsidRPr="001178C4" w:rsidRDefault="00912EA6" w:rsidP="00C233CC">
      <w:pPr>
        <w:jc w:val="both"/>
        <w:rPr>
          <w:sz w:val="24"/>
          <w:szCs w:val="24"/>
        </w:rPr>
      </w:pPr>
      <w:r w:rsidRPr="001178C4">
        <w:rPr>
          <w:sz w:val="24"/>
          <w:szCs w:val="24"/>
        </w:rPr>
        <w:t>Como se tem alertado nas edições anteriores, a agregação feita pelo Banco de Portugal dá uma imagem parcelar da real dimensão do nosso Setor, em Portugal, porque considera apenas as Empresas com o CAE 82200, ou seja, os Prestadores de Serviços de Contact Center, que designamos por Outsourcers.</w:t>
      </w:r>
    </w:p>
    <w:p w14:paraId="562C3A98" w14:textId="77777777" w:rsidR="00912EA6" w:rsidRPr="001178C4" w:rsidRDefault="00912EA6" w:rsidP="00C233CC">
      <w:pPr>
        <w:jc w:val="both"/>
        <w:rPr>
          <w:sz w:val="24"/>
          <w:szCs w:val="24"/>
        </w:rPr>
      </w:pPr>
      <w:r w:rsidRPr="001178C4">
        <w:rPr>
          <w:sz w:val="24"/>
          <w:szCs w:val="24"/>
        </w:rPr>
        <w:t>Não são, assim, considerados os muitos Contact Centers internos às Empresas dos mais variados Setores de Atividade, em gestão própria e alguns Prestadores de Serviços que apresentam CAE diverso.</w:t>
      </w:r>
    </w:p>
    <w:p w14:paraId="10AB9FAE" w14:textId="5C25AB2E" w:rsidR="00C556F3" w:rsidRPr="001178C4" w:rsidRDefault="00C556F3" w:rsidP="00C233CC">
      <w:pPr>
        <w:jc w:val="both"/>
        <w:rPr>
          <w:sz w:val="24"/>
          <w:szCs w:val="24"/>
        </w:rPr>
      </w:pPr>
      <w:r w:rsidRPr="001178C4">
        <w:rPr>
          <w:sz w:val="24"/>
          <w:szCs w:val="24"/>
        </w:rPr>
        <w:t>Sem prejuízo da análise mais detalhada que</w:t>
      </w:r>
      <w:r w:rsidR="00912EA6" w:rsidRPr="001178C4">
        <w:rPr>
          <w:sz w:val="24"/>
          <w:szCs w:val="24"/>
        </w:rPr>
        <w:t xml:space="preserve"> recomendamos seja </w:t>
      </w:r>
      <w:r w:rsidRPr="001178C4">
        <w:rPr>
          <w:sz w:val="24"/>
          <w:szCs w:val="24"/>
        </w:rPr>
        <w:t xml:space="preserve">feita em </w:t>
      </w:r>
      <w:hyperlink r:id="rId7" w:history="1">
        <w:r w:rsidRPr="001178C4">
          <w:rPr>
            <w:rStyle w:val="Hiperligao"/>
            <w:sz w:val="24"/>
            <w:szCs w:val="24"/>
          </w:rPr>
          <w:t>https://www.bportugal.pt/QS/qsweb/Dashboards</w:t>
        </w:r>
      </w:hyperlink>
      <w:r w:rsidRPr="001178C4">
        <w:rPr>
          <w:sz w:val="24"/>
          <w:szCs w:val="24"/>
        </w:rPr>
        <w:t xml:space="preserve">, apresentam-se a seguir as principais conclusões </w:t>
      </w:r>
      <w:r w:rsidR="00912EA6" w:rsidRPr="001178C4">
        <w:rPr>
          <w:sz w:val="24"/>
          <w:szCs w:val="24"/>
        </w:rPr>
        <w:t>merecedoras de destaque</w:t>
      </w:r>
      <w:r w:rsidRPr="001178C4">
        <w:rPr>
          <w:sz w:val="24"/>
          <w:szCs w:val="24"/>
        </w:rPr>
        <w:t>:</w:t>
      </w:r>
    </w:p>
    <w:p w14:paraId="2319A231" w14:textId="77777777" w:rsidR="00C556F3" w:rsidRPr="001178C4" w:rsidRDefault="00C556F3">
      <w:pPr>
        <w:rPr>
          <w:sz w:val="24"/>
          <w:szCs w:val="24"/>
        </w:rPr>
      </w:pPr>
    </w:p>
    <w:p w14:paraId="296FEC52" w14:textId="77777777" w:rsidR="00C556F3" w:rsidRPr="001178C4" w:rsidRDefault="00C556F3" w:rsidP="00407108">
      <w:pPr>
        <w:pStyle w:val="PargrafodaLista"/>
        <w:numPr>
          <w:ilvl w:val="0"/>
          <w:numId w:val="2"/>
        </w:numPr>
        <w:rPr>
          <w:sz w:val="24"/>
          <w:szCs w:val="24"/>
        </w:rPr>
      </w:pPr>
      <w:r w:rsidRPr="001178C4">
        <w:rPr>
          <w:sz w:val="24"/>
          <w:szCs w:val="24"/>
        </w:rPr>
        <w:t>Empresas: número, natalidade, mortalidade e caracterização</w:t>
      </w:r>
    </w:p>
    <w:p w14:paraId="45C9DA4F" w14:textId="77777777" w:rsidR="00C556F3" w:rsidRPr="001178C4" w:rsidRDefault="00C556F3" w:rsidP="004B3229">
      <w:pPr>
        <w:pStyle w:val="PargrafodaLista"/>
        <w:rPr>
          <w:sz w:val="24"/>
          <w:szCs w:val="24"/>
        </w:rPr>
      </w:pPr>
    </w:p>
    <w:p w14:paraId="6BC8DE57" w14:textId="74DF0D80" w:rsidR="00C556F3" w:rsidRPr="001178C4" w:rsidRDefault="00C556F3" w:rsidP="00C233CC">
      <w:pPr>
        <w:pStyle w:val="PargrafodaLista"/>
        <w:numPr>
          <w:ilvl w:val="0"/>
          <w:numId w:val="3"/>
        </w:numPr>
        <w:jc w:val="both"/>
        <w:rPr>
          <w:sz w:val="24"/>
          <w:szCs w:val="24"/>
        </w:rPr>
      </w:pPr>
      <w:r w:rsidRPr="001178C4">
        <w:rPr>
          <w:sz w:val="24"/>
          <w:szCs w:val="24"/>
        </w:rPr>
        <w:t>Em 201</w:t>
      </w:r>
      <w:r w:rsidR="00F51BD7" w:rsidRPr="001178C4">
        <w:rPr>
          <w:sz w:val="24"/>
          <w:szCs w:val="24"/>
        </w:rPr>
        <w:t>9</w:t>
      </w:r>
      <w:r w:rsidRPr="001178C4">
        <w:rPr>
          <w:sz w:val="24"/>
          <w:szCs w:val="24"/>
        </w:rPr>
        <w:t xml:space="preserve"> a Central de Balanços consolidou as contas apresentadas por </w:t>
      </w:r>
      <w:r w:rsidR="00F51BD7" w:rsidRPr="001178C4">
        <w:rPr>
          <w:sz w:val="24"/>
          <w:szCs w:val="24"/>
        </w:rPr>
        <w:t>109</w:t>
      </w:r>
      <w:r w:rsidRPr="001178C4">
        <w:rPr>
          <w:sz w:val="24"/>
          <w:szCs w:val="24"/>
        </w:rPr>
        <w:t xml:space="preserve"> Empresas</w:t>
      </w:r>
      <w:r w:rsidR="00F51BD7" w:rsidRPr="001178C4">
        <w:rPr>
          <w:sz w:val="24"/>
          <w:szCs w:val="24"/>
        </w:rPr>
        <w:t>, mais 13,5% que em 2018 – este crescimento compara com a taxa de crescimento nacional do número de Empresas a nível nacional, que foi de 3,1%.</w:t>
      </w:r>
      <w:r w:rsidRPr="001178C4">
        <w:rPr>
          <w:sz w:val="24"/>
          <w:szCs w:val="24"/>
        </w:rPr>
        <w:t xml:space="preserve"> No decurso deste ano, extinguiram-se </w:t>
      </w:r>
      <w:r w:rsidR="00F51BD7" w:rsidRPr="001178C4">
        <w:rPr>
          <w:sz w:val="24"/>
          <w:szCs w:val="24"/>
        </w:rPr>
        <w:t>5</w:t>
      </w:r>
      <w:r w:rsidRPr="001178C4">
        <w:rPr>
          <w:sz w:val="24"/>
          <w:szCs w:val="24"/>
        </w:rPr>
        <w:t xml:space="preserve"> Empresas e foram criadas 1</w:t>
      </w:r>
      <w:r w:rsidR="00F51BD7" w:rsidRPr="001178C4">
        <w:rPr>
          <w:sz w:val="24"/>
          <w:szCs w:val="24"/>
        </w:rPr>
        <w:t>8</w:t>
      </w:r>
      <w:r w:rsidRPr="001178C4">
        <w:rPr>
          <w:sz w:val="24"/>
          <w:szCs w:val="24"/>
        </w:rPr>
        <w:t xml:space="preserve"> novas.</w:t>
      </w:r>
    </w:p>
    <w:p w14:paraId="1406A10D" w14:textId="1C67E546" w:rsidR="00C556F3" w:rsidRPr="001178C4" w:rsidRDefault="00C556F3" w:rsidP="00C233CC">
      <w:pPr>
        <w:pStyle w:val="PargrafodaLista"/>
        <w:numPr>
          <w:ilvl w:val="0"/>
          <w:numId w:val="3"/>
        </w:numPr>
        <w:jc w:val="both"/>
        <w:rPr>
          <w:sz w:val="24"/>
          <w:szCs w:val="24"/>
        </w:rPr>
      </w:pPr>
      <w:r w:rsidRPr="001178C4">
        <w:rPr>
          <w:sz w:val="24"/>
          <w:szCs w:val="24"/>
        </w:rPr>
        <w:t>6</w:t>
      </w:r>
      <w:r w:rsidR="00F51BD7" w:rsidRPr="001178C4">
        <w:rPr>
          <w:sz w:val="24"/>
          <w:szCs w:val="24"/>
        </w:rPr>
        <w:t>8</w:t>
      </w:r>
      <w:r w:rsidRPr="001178C4">
        <w:rPr>
          <w:sz w:val="24"/>
          <w:szCs w:val="24"/>
        </w:rPr>
        <w:t>,</w:t>
      </w:r>
      <w:r w:rsidR="00F51BD7" w:rsidRPr="001178C4">
        <w:rPr>
          <w:sz w:val="24"/>
          <w:szCs w:val="24"/>
        </w:rPr>
        <w:t>8</w:t>
      </w:r>
      <w:r w:rsidRPr="001178C4">
        <w:rPr>
          <w:sz w:val="24"/>
          <w:szCs w:val="24"/>
        </w:rPr>
        <w:t xml:space="preserve">% destas Empresas tinham até 5 anos e apenas </w:t>
      </w:r>
      <w:r w:rsidR="00F51BD7" w:rsidRPr="001178C4">
        <w:rPr>
          <w:sz w:val="24"/>
          <w:szCs w:val="24"/>
        </w:rPr>
        <w:t>6</w:t>
      </w:r>
      <w:r w:rsidRPr="001178C4">
        <w:rPr>
          <w:sz w:val="24"/>
          <w:szCs w:val="24"/>
        </w:rPr>
        <w:t xml:space="preserve"> existem há mais de 20 anos.</w:t>
      </w:r>
      <w:r w:rsidR="00F51BD7" w:rsidRPr="001178C4">
        <w:rPr>
          <w:sz w:val="24"/>
          <w:szCs w:val="24"/>
        </w:rPr>
        <w:t xml:space="preserve"> Estas 6 Empresas realizam 72,3% do volume de faturação do total dos Agentes Económicos considerados.</w:t>
      </w:r>
    </w:p>
    <w:p w14:paraId="5D5D237F" w14:textId="77777777" w:rsidR="00C556F3" w:rsidRPr="001178C4" w:rsidRDefault="00C556F3" w:rsidP="004B3229">
      <w:pPr>
        <w:pStyle w:val="PargrafodaLista"/>
        <w:rPr>
          <w:sz w:val="24"/>
          <w:szCs w:val="24"/>
        </w:rPr>
      </w:pPr>
    </w:p>
    <w:p w14:paraId="5927ACAE" w14:textId="2D0A4303" w:rsidR="00C556F3" w:rsidRPr="001178C4" w:rsidRDefault="008C2B5D" w:rsidP="00F91DA2">
      <w:pPr>
        <w:pStyle w:val="PargrafodaLista"/>
        <w:rPr>
          <w:sz w:val="24"/>
          <w:szCs w:val="24"/>
        </w:rPr>
      </w:pPr>
      <w:r w:rsidRPr="001178C4">
        <w:rPr>
          <w:noProof/>
          <w:sz w:val="24"/>
          <w:szCs w:val="24"/>
        </w:rPr>
        <w:lastRenderedPageBreak/>
        <w:drawing>
          <wp:inline distT="0" distB="0" distL="0" distR="0" wp14:anchorId="435160A2" wp14:editId="62939434">
            <wp:extent cx="2352675" cy="1430594"/>
            <wp:effectExtent l="0" t="0" r="9525" b="17780"/>
            <wp:docPr id="1" name="Gráfico 1">
              <a:extLst xmlns:a="http://schemas.openxmlformats.org/drawingml/2006/main">
                <a:ext uri="{FF2B5EF4-FFF2-40B4-BE49-F238E27FC236}">
                  <a16:creationId xmlns:a16="http://schemas.microsoft.com/office/drawing/2014/main" id="{76470988-4B1B-4EB1-80FB-98D89B7F3D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1178C4">
        <w:rPr>
          <w:sz w:val="24"/>
          <w:szCs w:val="24"/>
        </w:rPr>
        <w:t xml:space="preserve">   </w:t>
      </w:r>
      <w:r w:rsidRPr="001178C4">
        <w:rPr>
          <w:noProof/>
          <w:sz w:val="24"/>
          <w:szCs w:val="24"/>
        </w:rPr>
        <w:drawing>
          <wp:inline distT="0" distB="0" distL="0" distR="0" wp14:anchorId="7DB98CB3" wp14:editId="5DBE77FD">
            <wp:extent cx="2352675" cy="1419389"/>
            <wp:effectExtent l="0" t="0" r="9525" b="9525"/>
            <wp:docPr id="9" name="Gráfico 9">
              <a:extLst xmlns:a="http://schemas.openxmlformats.org/drawingml/2006/main">
                <a:ext uri="{FF2B5EF4-FFF2-40B4-BE49-F238E27FC236}">
                  <a16:creationId xmlns:a16="http://schemas.microsoft.com/office/drawing/2014/main" id="{0E407A0A-211B-4508-B627-D263074B62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187E7A" w14:textId="77777777" w:rsidR="00C556F3" w:rsidRPr="001178C4" w:rsidRDefault="00C556F3" w:rsidP="00F91DA2">
      <w:pPr>
        <w:pStyle w:val="PargrafodaLista"/>
        <w:rPr>
          <w:sz w:val="24"/>
          <w:szCs w:val="24"/>
        </w:rPr>
      </w:pPr>
    </w:p>
    <w:p w14:paraId="60B90468" w14:textId="24F1E890" w:rsidR="00C556F3" w:rsidRPr="001178C4" w:rsidRDefault="00C556F3" w:rsidP="00C233CC">
      <w:pPr>
        <w:pStyle w:val="PargrafodaLista"/>
        <w:numPr>
          <w:ilvl w:val="0"/>
          <w:numId w:val="3"/>
        </w:numPr>
        <w:jc w:val="both"/>
        <w:rPr>
          <w:sz w:val="24"/>
          <w:szCs w:val="24"/>
        </w:rPr>
      </w:pPr>
      <w:r w:rsidRPr="001178C4">
        <w:rPr>
          <w:sz w:val="24"/>
          <w:szCs w:val="24"/>
        </w:rPr>
        <w:t>Existiam 1</w:t>
      </w:r>
      <w:r w:rsidR="00D810C8" w:rsidRPr="001178C4">
        <w:rPr>
          <w:sz w:val="24"/>
          <w:szCs w:val="24"/>
        </w:rPr>
        <w:t>0</w:t>
      </w:r>
      <w:r w:rsidRPr="001178C4">
        <w:rPr>
          <w:sz w:val="24"/>
          <w:szCs w:val="24"/>
        </w:rPr>
        <w:t xml:space="preserve"> Grandes Empresas, 12 Médias, </w:t>
      </w:r>
      <w:r w:rsidR="00D810C8" w:rsidRPr="001178C4">
        <w:rPr>
          <w:sz w:val="24"/>
          <w:szCs w:val="24"/>
        </w:rPr>
        <w:t>22</w:t>
      </w:r>
      <w:r w:rsidRPr="001178C4">
        <w:rPr>
          <w:sz w:val="24"/>
          <w:szCs w:val="24"/>
        </w:rPr>
        <w:t xml:space="preserve"> Pequenas e </w:t>
      </w:r>
      <w:r w:rsidR="00D810C8" w:rsidRPr="001178C4">
        <w:rPr>
          <w:sz w:val="24"/>
          <w:szCs w:val="24"/>
        </w:rPr>
        <w:t>65</w:t>
      </w:r>
      <w:r w:rsidRPr="001178C4">
        <w:rPr>
          <w:sz w:val="24"/>
          <w:szCs w:val="24"/>
        </w:rPr>
        <w:t xml:space="preserve"> Microempresas</w:t>
      </w:r>
      <w:r w:rsidR="00D810C8" w:rsidRPr="001178C4">
        <w:rPr>
          <w:sz w:val="24"/>
          <w:szCs w:val="24"/>
        </w:rPr>
        <w:t>. De destacar que apenas as Pequenas Empresas e as Microempresas registaram crescimento de 2018 para 2019, dado que o número de Grandes Empresas se reduziu, de 12 para 10 e o de Médias se manteve</w:t>
      </w:r>
      <w:r w:rsidRPr="001178C4">
        <w:rPr>
          <w:sz w:val="24"/>
          <w:szCs w:val="24"/>
        </w:rPr>
        <w:t>.</w:t>
      </w:r>
    </w:p>
    <w:p w14:paraId="6F739BB3" w14:textId="1FC2F663" w:rsidR="00D810C8" w:rsidRPr="001178C4" w:rsidRDefault="00D810C8" w:rsidP="00C233CC">
      <w:pPr>
        <w:pStyle w:val="PargrafodaLista"/>
        <w:numPr>
          <w:ilvl w:val="0"/>
          <w:numId w:val="3"/>
        </w:numPr>
        <w:jc w:val="both"/>
        <w:rPr>
          <w:sz w:val="24"/>
          <w:szCs w:val="24"/>
        </w:rPr>
      </w:pPr>
      <w:r w:rsidRPr="001178C4">
        <w:rPr>
          <w:sz w:val="24"/>
          <w:szCs w:val="24"/>
        </w:rPr>
        <w:t xml:space="preserve">O volume de faturação das 20% maiores Empresas </w:t>
      </w:r>
      <w:r w:rsidR="002E28FA" w:rsidRPr="001178C4">
        <w:rPr>
          <w:sz w:val="24"/>
          <w:szCs w:val="24"/>
        </w:rPr>
        <w:t>representou</w:t>
      </w:r>
      <w:r w:rsidRPr="001178C4">
        <w:rPr>
          <w:sz w:val="24"/>
          <w:szCs w:val="24"/>
        </w:rPr>
        <w:t xml:space="preserve"> 96,2% do total.</w:t>
      </w:r>
    </w:p>
    <w:p w14:paraId="33B20AD9" w14:textId="7358B432" w:rsidR="00C556F3" w:rsidRPr="001178C4" w:rsidRDefault="00C556F3" w:rsidP="00C233CC">
      <w:pPr>
        <w:pStyle w:val="PargrafodaLista"/>
        <w:numPr>
          <w:ilvl w:val="0"/>
          <w:numId w:val="3"/>
        </w:numPr>
        <w:jc w:val="both"/>
        <w:rPr>
          <w:sz w:val="24"/>
          <w:szCs w:val="24"/>
        </w:rPr>
      </w:pPr>
      <w:r w:rsidRPr="001178C4">
        <w:rPr>
          <w:sz w:val="24"/>
          <w:szCs w:val="24"/>
        </w:rPr>
        <w:t>5</w:t>
      </w:r>
      <w:r w:rsidR="00D810C8" w:rsidRPr="001178C4">
        <w:rPr>
          <w:sz w:val="24"/>
          <w:szCs w:val="24"/>
        </w:rPr>
        <w:t>7</w:t>
      </w:r>
      <w:r w:rsidRPr="001178C4">
        <w:rPr>
          <w:sz w:val="24"/>
          <w:szCs w:val="24"/>
        </w:rPr>
        <w:t>,</w:t>
      </w:r>
      <w:r w:rsidR="00D810C8" w:rsidRPr="001178C4">
        <w:rPr>
          <w:sz w:val="24"/>
          <w:szCs w:val="24"/>
        </w:rPr>
        <w:t>9</w:t>
      </w:r>
      <w:r w:rsidRPr="001178C4">
        <w:rPr>
          <w:sz w:val="24"/>
          <w:szCs w:val="24"/>
        </w:rPr>
        <w:t>% das Empresas localizam-se na Área Metropolitana de Lisboa, onde se encontram 9</w:t>
      </w:r>
      <w:r w:rsidR="00D810C8" w:rsidRPr="001178C4">
        <w:rPr>
          <w:sz w:val="24"/>
          <w:szCs w:val="24"/>
        </w:rPr>
        <w:t>0,8</w:t>
      </w:r>
      <w:r w:rsidRPr="001178C4">
        <w:rPr>
          <w:sz w:val="24"/>
          <w:szCs w:val="24"/>
        </w:rPr>
        <w:t xml:space="preserve">% dos </w:t>
      </w:r>
      <w:r w:rsidR="00C9640D" w:rsidRPr="001178C4">
        <w:rPr>
          <w:sz w:val="24"/>
          <w:szCs w:val="24"/>
        </w:rPr>
        <w:t>R</w:t>
      </w:r>
      <w:r w:rsidRPr="001178C4">
        <w:rPr>
          <w:sz w:val="24"/>
          <w:szCs w:val="24"/>
        </w:rPr>
        <w:t xml:space="preserve">ecursos </w:t>
      </w:r>
      <w:r w:rsidR="00C9640D" w:rsidRPr="001178C4">
        <w:rPr>
          <w:sz w:val="24"/>
          <w:szCs w:val="24"/>
        </w:rPr>
        <w:t>H</w:t>
      </w:r>
      <w:r w:rsidRPr="001178C4">
        <w:rPr>
          <w:sz w:val="24"/>
          <w:szCs w:val="24"/>
        </w:rPr>
        <w:t>umanos e se realiza 88</w:t>
      </w:r>
      <w:r w:rsidR="00D810C8" w:rsidRPr="001178C4">
        <w:rPr>
          <w:sz w:val="24"/>
          <w:szCs w:val="24"/>
        </w:rPr>
        <w:t>,4</w:t>
      </w:r>
      <w:r w:rsidRPr="001178C4">
        <w:rPr>
          <w:sz w:val="24"/>
          <w:szCs w:val="24"/>
        </w:rPr>
        <w:t>% da faturação da totalidade das Empresas</w:t>
      </w:r>
      <w:r w:rsidR="00D810C8" w:rsidRPr="001178C4">
        <w:rPr>
          <w:sz w:val="24"/>
          <w:szCs w:val="24"/>
        </w:rPr>
        <w:t xml:space="preserve"> consideradas. As restantes Regiões com maior relevância são a Área Metropolitana do Porto </w:t>
      </w:r>
      <w:r w:rsidR="007038F5" w:rsidRPr="001178C4">
        <w:rPr>
          <w:sz w:val="24"/>
          <w:szCs w:val="24"/>
        </w:rPr>
        <w:t>(</w:t>
      </w:r>
      <w:r w:rsidR="00D810C8" w:rsidRPr="001178C4">
        <w:rPr>
          <w:sz w:val="24"/>
          <w:szCs w:val="24"/>
        </w:rPr>
        <w:t xml:space="preserve">15,6% das Empresas, 5,8% dos </w:t>
      </w:r>
      <w:r w:rsidR="00C9640D" w:rsidRPr="001178C4">
        <w:rPr>
          <w:sz w:val="24"/>
          <w:szCs w:val="24"/>
        </w:rPr>
        <w:t>R</w:t>
      </w:r>
      <w:r w:rsidR="00D810C8" w:rsidRPr="001178C4">
        <w:rPr>
          <w:sz w:val="24"/>
          <w:szCs w:val="24"/>
        </w:rPr>
        <w:t xml:space="preserve">ecursos </w:t>
      </w:r>
      <w:r w:rsidR="00C9640D" w:rsidRPr="001178C4">
        <w:rPr>
          <w:sz w:val="24"/>
          <w:szCs w:val="24"/>
        </w:rPr>
        <w:t>H</w:t>
      </w:r>
      <w:r w:rsidR="00D810C8" w:rsidRPr="001178C4">
        <w:rPr>
          <w:sz w:val="24"/>
          <w:szCs w:val="24"/>
        </w:rPr>
        <w:t xml:space="preserve">umanos e 4,3% da faturação), o Algarve (8,3% das Empresas, 0.4% dos </w:t>
      </w:r>
      <w:r w:rsidR="00C9640D" w:rsidRPr="001178C4">
        <w:rPr>
          <w:sz w:val="24"/>
          <w:szCs w:val="24"/>
        </w:rPr>
        <w:t>R</w:t>
      </w:r>
      <w:r w:rsidR="00D810C8" w:rsidRPr="001178C4">
        <w:rPr>
          <w:sz w:val="24"/>
          <w:szCs w:val="24"/>
        </w:rPr>
        <w:t xml:space="preserve">ecursos </w:t>
      </w:r>
      <w:r w:rsidR="00C9640D" w:rsidRPr="001178C4">
        <w:rPr>
          <w:sz w:val="24"/>
          <w:szCs w:val="24"/>
        </w:rPr>
        <w:t>H</w:t>
      </w:r>
      <w:r w:rsidR="00D810C8" w:rsidRPr="001178C4">
        <w:rPr>
          <w:sz w:val="24"/>
          <w:szCs w:val="24"/>
        </w:rPr>
        <w:t>umanos e 0,3% da faturação) e</w:t>
      </w:r>
      <w:r w:rsidR="007038F5" w:rsidRPr="001178C4">
        <w:rPr>
          <w:sz w:val="24"/>
          <w:szCs w:val="24"/>
        </w:rPr>
        <w:t xml:space="preserve"> </w:t>
      </w:r>
      <w:r w:rsidR="00C9640D" w:rsidRPr="001178C4">
        <w:rPr>
          <w:sz w:val="24"/>
          <w:szCs w:val="24"/>
        </w:rPr>
        <w:t>o Cávado (4,6% das Empresas, 0,6% dos Recursos humanos e 5,6% da faturação).</w:t>
      </w:r>
      <w:r w:rsidRPr="001178C4">
        <w:rPr>
          <w:sz w:val="24"/>
          <w:szCs w:val="24"/>
        </w:rPr>
        <w:t xml:space="preserve">  </w:t>
      </w:r>
    </w:p>
    <w:p w14:paraId="5056E8D8" w14:textId="77777777" w:rsidR="00C556F3" w:rsidRPr="001178C4" w:rsidRDefault="00C556F3" w:rsidP="00D5413E">
      <w:pPr>
        <w:rPr>
          <w:sz w:val="24"/>
          <w:szCs w:val="24"/>
        </w:rPr>
      </w:pPr>
    </w:p>
    <w:p w14:paraId="312F8148" w14:textId="77777777" w:rsidR="00C556F3" w:rsidRPr="001178C4" w:rsidRDefault="00C556F3" w:rsidP="00407108">
      <w:pPr>
        <w:pStyle w:val="PargrafodaLista"/>
        <w:numPr>
          <w:ilvl w:val="0"/>
          <w:numId w:val="2"/>
        </w:numPr>
        <w:rPr>
          <w:sz w:val="24"/>
          <w:szCs w:val="24"/>
        </w:rPr>
      </w:pPr>
      <w:r w:rsidRPr="001178C4">
        <w:rPr>
          <w:sz w:val="24"/>
          <w:szCs w:val="24"/>
        </w:rPr>
        <w:t>Indicadores globais mais relevantes</w:t>
      </w:r>
    </w:p>
    <w:p w14:paraId="067F86B2" w14:textId="77777777" w:rsidR="00C556F3" w:rsidRPr="001178C4" w:rsidRDefault="00C556F3" w:rsidP="00F91DA2">
      <w:pPr>
        <w:pStyle w:val="PargrafodaLista"/>
        <w:rPr>
          <w:sz w:val="24"/>
          <w:szCs w:val="24"/>
        </w:rPr>
      </w:pPr>
    </w:p>
    <w:p w14:paraId="655EFE7A" w14:textId="03A21201" w:rsidR="00C556F3" w:rsidRPr="001178C4" w:rsidRDefault="00C556F3" w:rsidP="00C233CC">
      <w:pPr>
        <w:pStyle w:val="PargrafodaLista"/>
        <w:numPr>
          <w:ilvl w:val="0"/>
          <w:numId w:val="4"/>
        </w:numPr>
        <w:jc w:val="both"/>
        <w:rPr>
          <w:sz w:val="24"/>
          <w:szCs w:val="24"/>
        </w:rPr>
      </w:pPr>
      <w:r w:rsidRPr="001178C4">
        <w:rPr>
          <w:sz w:val="24"/>
          <w:szCs w:val="24"/>
        </w:rPr>
        <w:t xml:space="preserve">As </w:t>
      </w:r>
      <w:r w:rsidR="00C9640D" w:rsidRPr="001178C4">
        <w:rPr>
          <w:sz w:val="24"/>
          <w:szCs w:val="24"/>
        </w:rPr>
        <w:t>109</w:t>
      </w:r>
      <w:r w:rsidRPr="001178C4">
        <w:rPr>
          <w:sz w:val="24"/>
          <w:szCs w:val="24"/>
        </w:rPr>
        <w:t xml:space="preserve"> Empresas consideradas tiveram uma faturação total de </w:t>
      </w:r>
      <w:r w:rsidR="00C9640D" w:rsidRPr="001178C4">
        <w:rPr>
          <w:sz w:val="24"/>
          <w:szCs w:val="24"/>
        </w:rPr>
        <w:t>657,1</w:t>
      </w:r>
      <w:r w:rsidRPr="001178C4">
        <w:rPr>
          <w:sz w:val="24"/>
          <w:szCs w:val="24"/>
        </w:rPr>
        <w:t xml:space="preserve"> milhões de euros (mais 10,</w:t>
      </w:r>
      <w:r w:rsidR="00C9640D" w:rsidRPr="001178C4">
        <w:rPr>
          <w:sz w:val="24"/>
          <w:szCs w:val="24"/>
        </w:rPr>
        <w:t>8</w:t>
      </w:r>
      <w:r w:rsidRPr="001178C4">
        <w:rPr>
          <w:sz w:val="24"/>
          <w:szCs w:val="24"/>
        </w:rPr>
        <w:t>% que em 201</w:t>
      </w:r>
      <w:r w:rsidR="00C9640D" w:rsidRPr="001178C4">
        <w:rPr>
          <w:sz w:val="24"/>
          <w:szCs w:val="24"/>
        </w:rPr>
        <w:t>8</w:t>
      </w:r>
      <w:r w:rsidRPr="001178C4">
        <w:rPr>
          <w:sz w:val="24"/>
          <w:szCs w:val="24"/>
        </w:rPr>
        <w:t>)</w:t>
      </w:r>
      <w:r w:rsidR="00C9640D" w:rsidRPr="001178C4">
        <w:rPr>
          <w:sz w:val="24"/>
          <w:szCs w:val="24"/>
        </w:rPr>
        <w:t xml:space="preserve"> </w:t>
      </w:r>
      <w:r w:rsidRPr="001178C4">
        <w:rPr>
          <w:sz w:val="24"/>
          <w:szCs w:val="24"/>
        </w:rPr>
        <w:t xml:space="preserve">e apresentaram </w:t>
      </w:r>
      <w:r w:rsidR="00C9640D" w:rsidRPr="001178C4">
        <w:rPr>
          <w:sz w:val="24"/>
          <w:szCs w:val="24"/>
        </w:rPr>
        <w:t>Ativos</w:t>
      </w:r>
      <w:r w:rsidRPr="001178C4">
        <w:rPr>
          <w:sz w:val="24"/>
          <w:szCs w:val="24"/>
        </w:rPr>
        <w:t xml:space="preserve"> de </w:t>
      </w:r>
      <w:r w:rsidR="00C9640D" w:rsidRPr="001178C4">
        <w:rPr>
          <w:sz w:val="24"/>
          <w:szCs w:val="24"/>
        </w:rPr>
        <w:t>4</w:t>
      </w:r>
      <w:r w:rsidRPr="001178C4">
        <w:rPr>
          <w:sz w:val="24"/>
          <w:szCs w:val="24"/>
        </w:rPr>
        <w:t>02 milhões de euros</w:t>
      </w:r>
      <w:r w:rsidR="00C9640D" w:rsidRPr="001178C4">
        <w:rPr>
          <w:sz w:val="24"/>
          <w:szCs w:val="24"/>
        </w:rPr>
        <w:t xml:space="preserve"> (mais 8,4% que em 2018)</w:t>
      </w:r>
      <w:r w:rsidRPr="001178C4">
        <w:rPr>
          <w:sz w:val="24"/>
          <w:szCs w:val="24"/>
        </w:rPr>
        <w:t>.</w:t>
      </w:r>
    </w:p>
    <w:p w14:paraId="085587C8" w14:textId="51ECBBAA" w:rsidR="00C556F3" w:rsidRPr="001178C4" w:rsidRDefault="00C556F3" w:rsidP="00C233CC">
      <w:pPr>
        <w:pStyle w:val="PargrafodaLista"/>
        <w:numPr>
          <w:ilvl w:val="0"/>
          <w:numId w:val="4"/>
        </w:numPr>
        <w:jc w:val="both"/>
        <w:rPr>
          <w:sz w:val="24"/>
          <w:szCs w:val="24"/>
        </w:rPr>
      </w:pPr>
      <w:r w:rsidRPr="001178C4">
        <w:rPr>
          <w:sz w:val="24"/>
          <w:szCs w:val="24"/>
        </w:rPr>
        <w:t xml:space="preserve">O peso das importações nas compras das Empresas foi </w:t>
      </w:r>
      <w:r w:rsidR="00C9640D" w:rsidRPr="001178C4">
        <w:rPr>
          <w:sz w:val="24"/>
          <w:szCs w:val="24"/>
        </w:rPr>
        <w:t xml:space="preserve">apenas </w:t>
      </w:r>
      <w:r w:rsidRPr="001178C4">
        <w:rPr>
          <w:sz w:val="24"/>
          <w:szCs w:val="24"/>
        </w:rPr>
        <w:t>de 1</w:t>
      </w:r>
      <w:r w:rsidR="00C9640D" w:rsidRPr="001178C4">
        <w:rPr>
          <w:sz w:val="24"/>
          <w:szCs w:val="24"/>
        </w:rPr>
        <w:t>5,4</w:t>
      </w:r>
      <w:r w:rsidRPr="001178C4">
        <w:rPr>
          <w:sz w:val="24"/>
          <w:szCs w:val="24"/>
        </w:rPr>
        <w:t>% enquanto que o peso das exportações nas vendas atingiu 6</w:t>
      </w:r>
      <w:r w:rsidR="00C9640D" w:rsidRPr="001178C4">
        <w:rPr>
          <w:sz w:val="24"/>
          <w:szCs w:val="24"/>
        </w:rPr>
        <w:t>3</w:t>
      </w:r>
      <w:r w:rsidRPr="001178C4">
        <w:rPr>
          <w:sz w:val="24"/>
          <w:szCs w:val="24"/>
        </w:rPr>
        <w:t>,</w:t>
      </w:r>
      <w:r w:rsidR="00C9640D" w:rsidRPr="001178C4">
        <w:rPr>
          <w:sz w:val="24"/>
          <w:szCs w:val="24"/>
        </w:rPr>
        <w:t>6</w:t>
      </w:r>
      <w:r w:rsidRPr="001178C4">
        <w:rPr>
          <w:sz w:val="24"/>
          <w:szCs w:val="24"/>
        </w:rPr>
        <w:t>%</w:t>
      </w:r>
      <w:r w:rsidR="00C9640D" w:rsidRPr="001178C4">
        <w:rPr>
          <w:sz w:val="24"/>
          <w:szCs w:val="24"/>
        </w:rPr>
        <w:t>, o valor mais alto de sempre</w:t>
      </w:r>
      <w:r w:rsidRPr="001178C4">
        <w:rPr>
          <w:sz w:val="24"/>
          <w:szCs w:val="24"/>
        </w:rPr>
        <w:t>.</w:t>
      </w:r>
    </w:p>
    <w:p w14:paraId="5446C7FD" w14:textId="77777777" w:rsidR="00C556F3" w:rsidRPr="001178C4" w:rsidRDefault="00C556F3" w:rsidP="00F91DA2">
      <w:pPr>
        <w:pStyle w:val="PargrafodaLista"/>
        <w:rPr>
          <w:sz w:val="24"/>
          <w:szCs w:val="24"/>
        </w:rPr>
      </w:pPr>
    </w:p>
    <w:p w14:paraId="3A7327ED" w14:textId="6C3D849B" w:rsidR="00C556F3" w:rsidRPr="001178C4" w:rsidRDefault="008C2B5D" w:rsidP="00F91DA2">
      <w:pPr>
        <w:pStyle w:val="PargrafodaLista"/>
        <w:rPr>
          <w:sz w:val="24"/>
          <w:szCs w:val="24"/>
        </w:rPr>
      </w:pPr>
      <w:r w:rsidRPr="001178C4">
        <w:rPr>
          <w:noProof/>
          <w:sz w:val="24"/>
          <w:szCs w:val="24"/>
        </w:rPr>
        <w:drawing>
          <wp:inline distT="0" distB="0" distL="0" distR="0" wp14:anchorId="419693D1" wp14:editId="799875E2">
            <wp:extent cx="2352675" cy="1219200"/>
            <wp:effectExtent l="0" t="0" r="9525" b="0"/>
            <wp:docPr id="10" name="Gráfico 10">
              <a:extLst xmlns:a="http://schemas.openxmlformats.org/drawingml/2006/main">
                <a:ext uri="{FF2B5EF4-FFF2-40B4-BE49-F238E27FC236}">
                  <a16:creationId xmlns:a16="http://schemas.microsoft.com/office/drawing/2014/main" id="{BB95C8B0-50D0-4D17-A887-D30E054AD1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178C4">
        <w:rPr>
          <w:sz w:val="24"/>
          <w:szCs w:val="24"/>
        </w:rPr>
        <w:t xml:space="preserve">  </w:t>
      </w:r>
      <w:r w:rsidRPr="001178C4">
        <w:rPr>
          <w:noProof/>
          <w:sz w:val="24"/>
          <w:szCs w:val="24"/>
        </w:rPr>
        <w:drawing>
          <wp:inline distT="0" distB="0" distL="0" distR="0" wp14:anchorId="0F1523CD" wp14:editId="0AEBAEC3">
            <wp:extent cx="2352675" cy="1203161"/>
            <wp:effectExtent l="0" t="0" r="9525" b="16510"/>
            <wp:docPr id="11" name="Gráfico 11">
              <a:extLst xmlns:a="http://schemas.openxmlformats.org/drawingml/2006/main">
                <a:ext uri="{FF2B5EF4-FFF2-40B4-BE49-F238E27FC236}">
                  <a16:creationId xmlns:a16="http://schemas.microsoft.com/office/drawing/2014/main" id="{E3D796A0-44E9-4379-A41F-B9DA87C57B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CF81F7" w14:textId="77777777" w:rsidR="00C556F3" w:rsidRPr="001178C4" w:rsidRDefault="00C556F3" w:rsidP="00F91DA2">
      <w:pPr>
        <w:pStyle w:val="PargrafodaLista"/>
        <w:rPr>
          <w:sz w:val="24"/>
          <w:szCs w:val="24"/>
        </w:rPr>
      </w:pPr>
    </w:p>
    <w:p w14:paraId="29B9DCE3" w14:textId="742EDE97" w:rsidR="00C556F3" w:rsidRPr="001178C4" w:rsidRDefault="00E036AE" w:rsidP="00F91DA2">
      <w:pPr>
        <w:pStyle w:val="PargrafodaLista"/>
        <w:rPr>
          <w:sz w:val="24"/>
          <w:szCs w:val="24"/>
        </w:rPr>
      </w:pPr>
      <w:r w:rsidRPr="001178C4">
        <w:rPr>
          <w:noProof/>
          <w:sz w:val="24"/>
          <w:szCs w:val="24"/>
        </w:rPr>
        <w:lastRenderedPageBreak/>
        <w:drawing>
          <wp:inline distT="0" distB="0" distL="0" distR="0" wp14:anchorId="451E4A81" wp14:editId="2DBD4034">
            <wp:extent cx="4752975" cy="2838450"/>
            <wp:effectExtent l="0" t="0" r="9525" b="0"/>
            <wp:docPr id="13" name="Gráfico 13">
              <a:extLst xmlns:a="http://schemas.openxmlformats.org/drawingml/2006/main">
                <a:ext uri="{FF2B5EF4-FFF2-40B4-BE49-F238E27FC236}">
                  <a16:creationId xmlns:a16="http://schemas.microsoft.com/office/drawing/2014/main" id="{44102CE0-F563-47F6-82C5-46ED093D20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6F745C" w14:textId="3DA3A717" w:rsidR="00E036AE" w:rsidRPr="001178C4" w:rsidRDefault="00E036AE" w:rsidP="00C233CC">
      <w:pPr>
        <w:pStyle w:val="PargrafodaLista"/>
        <w:numPr>
          <w:ilvl w:val="0"/>
          <w:numId w:val="4"/>
        </w:numPr>
        <w:jc w:val="both"/>
        <w:rPr>
          <w:sz w:val="24"/>
          <w:szCs w:val="24"/>
        </w:rPr>
      </w:pPr>
      <w:r w:rsidRPr="001178C4">
        <w:rPr>
          <w:sz w:val="24"/>
          <w:szCs w:val="24"/>
        </w:rPr>
        <w:t>É notória a relativa estabilização das vendas no mercado interno, nos últimos três exercícios, sempre entre os 200</w:t>
      </w:r>
      <w:r w:rsidR="002E28FA" w:rsidRPr="001178C4">
        <w:rPr>
          <w:sz w:val="24"/>
          <w:szCs w:val="24"/>
        </w:rPr>
        <w:t>M</w:t>
      </w:r>
      <w:r w:rsidRPr="001178C4">
        <w:rPr>
          <w:sz w:val="24"/>
          <w:szCs w:val="24"/>
        </w:rPr>
        <w:t xml:space="preserve"> e os 250M€, contrastando com o aumento constante do volume de exportação. A evolução do peso das exportações no total da atividade do Setor é </w:t>
      </w:r>
      <w:r w:rsidR="002E28FA" w:rsidRPr="001178C4">
        <w:rPr>
          <w:sz w:val="24"/>
          <w:szCs w:val="24"/>
        </w:rPr>
        <w:t xml:space="preserve">bem </w:t>
      </w:r>
      <w:r w:rsidRPr="001178C4">
        <w:rPr>
          <w:sz w:val="24"/>
          <w:szCs w:val="24"/>
        </w:rPr>
        <w:t>visível no quadro seguinte.</w:t>
      </w:r>
    </w:p>
    <w:p w14:paraId="3E7DB71B" w14:textId="0BEFF0DE" w:rsidR="00E036AE" w:rsidRPr="001178C4" w:rsidRDefault="00843556" w:rsidP="00E036AE">
      <w:pPr>
        <w:rPr>
          <w:sz w:val="24"/>
          <w:szCs w:val="24"/>
        </w:rPr>
      </w:pPr>
      <w:r w:rsidRPr="001178C4">
        <w:rPr>
          <w:noProof/>
          <w:sz w:val="24"/>
          <w:szCs w:val="24"/>
        </w:rPr>
        <w:drawing>
          <wp:inline distT="0" distB="0" distL="0" distR="0" wp14:anchorId="0EF83158" wp14:editId="37745EDA">
            <wp:extent cx="5299075" cy="1976283"/>
            <wp:effectExtent l="0" t="0" r="15875" b="5080"/>
            <wp:docPr id="14" name="Gráfico 14">
              <a:extLst xmlns:a="http://schemas.openxmlformats.org/drawingml/2006/main">
                <a:ext uri="{FF2B5EF4-FFF2-40B4-BE49-F238E27FC236}">
                  <a16:creationId xmlns:a16="http://schemas.microsoft.com/office/drawing/2014/main" id="{D3087C75-D389-4EE0-80F8-7C8044D59B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50254E" w14:textId="5351EFCC" w:rsidR="00C556F3" w:rsidRPr="001178C4" w:rsidRDefault="00C556F3" w:rsidP="00C233CC">
      <w:pPr>
        <w:pStyle w:val="PargrafodaLista"/>
        <w:numPr>
          <w:ilvl w:val="0"/>
          <w:numId w:val="4"/>
        </w:numPr>
        <w:jc w:val="both"/>
        <w:rPr>
          <w:sz w:val="24"/>
          <w:szCs w:val="24"/>
        </w:rPr>
      </w:pPr>
      <w:r w:rsidRPr="001178C4">
        <w:rPr>
          <w:sz w:val="24"/>
          <w:szCs w:val="24"/>
        </w:rPr>
        <w:t xml:space="preserve">A autonomia financeira das Empresas </w:t>
      </w:r>
      <w:r w:rsidR="00C9640D" w:rsidRPr="001178C4">
        <w:rPr>
          <w:sz w:val="24"/>
          <w:szCs w:val="24"/>
        </w:rPr>
        <w:t xml:space="preserve">aumentou dos 30,4% de 2018 para 31,7% ficando, contudo, ainda abaixo </w:t>
      </w:r>
      <w:r w:rsidRPr="001178C4">
        <w:rPr>
          <w:sz w:val="24"/>
          <w:szCs w:val="24"/>
        </w:rPr>
        <w:t>dos 32,5% de 2017.</w:t>
      </w:r>
    </w:p>
    <w:p w14:paraId="1553FD19" w14:textId="77777777" w:rsidR="00C556F3" w:rsidRPr="001178C4" w:rsidRDefault="00C556F3" w:rsidP="00F91DA2">
      <w:pPr>
        <w:pStyle w:val="PargrafodaLista"/>
        <w:rPr>
          <w:sz w:val="24"/>
          <w:szCs w:val="24"/>
        </w:rPr>
      </w:pPr>
    </w:p>
    <w:p w14:paraId="522170B0" w14:textId="7E36A247" w:rsidR="00C556F3" w:rsidRPr="001178C4" w:rsidRDefault="00720608" w:rsidP="00F91DA2">
      <w:pPr>
        <w:pStyle w:val="PargrafodaLista"/>
        <w:rPr>
          <w:sz w:val="24"/>
          <w:szCs w:val="24"/>
        </w:rPr>
      </w:pPr>
      <w:r w:rsidRPr="001178C4">
        <w:rPr>
          <w:noProof/>
          <w:sz w:val="24"/>
          <w:szCs w:val="24"/>
        </w:rPr>
        <w:lastRenderedPageBreak/>
        <w:drawing>
          <wp:inline distT="0" distB="0" distL="0" distR="0" wp14:anchorId="10FC7AC7" wp14:editId="668EBD31">
            <wp:extent cx="4827270" cy="2025446"/>
            <wp:effectExtent l="0" t="0" r="11430" b="13335"/>
            <wp:docPr id="15" name="Gráfico 15">
              <a:extLst xmlns:a="http://schemas.openxmlformats.org/drawingml/2006/main">
                <a:ext uri="{FF2B5EF4-FFF2-40B4-BE49-F238E27FC236}">
                  <a16:creationId xmlns:a16="http://schemas.microsoft.com/office/drawing/2014/main" id="{212EE3FA-E156-4FE3-AD02-398550F750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CB351A" w14:textId="77777777" w:rsidR="00720608" w:rsidRPr="001178C4" w:rsidRDefault="00720608" w:rsidP="00720608">
      <w:pPr>
        <w:pStyle w:val="PargrafodaLista"/>
        <w:ind w:left="1428"/>
        <w:rPr>
          <w:sz w:val="24"/>
          <w:szCs w:val="24"/>
        </w:rPr>
      </w:pPr>
    </w:p>
    <w:p w14:paraId="67ECEA26" w14:textId="53E70B7D" w:rsidR="00C556F3" w:rsidRPr="001178C4" w:rsidRDefault="00C556F3" w:rsidP="00C233CC">
      <w:pPr>
        <w:pStyle w:val="PargrafodaLista"/>
        <w:numPr>
          <w:ilvl w:val="0"/>
          <w:numId w:val="4"/>
        </w:numPr>
        <w:jc w:val="both"/>
        <w:rPr>
          <w:sz w:val="24"/>
          <w:szCs w:val="24"/>
        </w:rPr>
      </w:pPr>
      <w:r w:rsidRPr="001178C4">
        <w:rPr>
          <w:sz w:val="24"/>
          <w:szCs w:val="24"/>
        </w:rPr>
        <w:t xml:space="preserve">A rendibilidade dos ativos </w:t>
      </w:r>
      <w:r w:rsidR="00EC4396" w:rsidRPr="001178C4">
        <w:rPr>
          <w:sz w:val="24"/>
          <w:szCs w:val="24"/>
        </w:rPr>
        <w:t>continuou a descer, sendo agora de 14,9%. Ainda assim, este valor compara com a média de 7,5% para o total de todas as atividades em Portugal</w:t>
      </w:r>
      <w:r w:rsidRPr="001178C4">
        <w:rPr>
          <w:sz w:val="24"/>
          <w:szCs w:val="24"/>
        </w:rPr>
        <w:t>.</w:t>
      </w:r>
    </w:p>
    <w:p w14:paraId="06DFA852" w14:textId="77777777" w:rsidR="00C556F3" w:rsidRPr="001178C4" w:rsidRDefault="00C556F3" w:rsidP="00F91DA2">
      <w:pPr>
        <w:pStyle w:val="PargrafodaLista"/>
        <w:rPr>
          <w:sz w:val="24"/>
          <w:szCs w:val="24"/>
        </w:rPr>
      </w:pPr>
    </w:p>
    <w:p w14:paraId="4D491693" w14:textId="74DFE5C7" w:rsidR="00C556F3" w:rsidRPr="001178C4" w:rsidRDefault="00720608" w:rsidP="00F91DA2">
      <w:pPr>
        <w:pStyle w:val="PargrafodaLista"/>
        <w:rPr>
          <w:sz w:val="24"/>
          <w:szCs w:val="24"/>
        </w:rPr>
      </w:pPr>
      <w:r w:rsidRPr="001178C4">
        <w:rPr>
          <w:noProof/>
          <w:sz w:val="24"/>
          <w:szCs w:val="24"/>
        </w:rPr>
        <w:drawing>
          <wp:inline distT="0" distB="0" distL="0" distR="0" wp14:anchorId="4C7EF602" wp14:editId="488B7A55">
            <wp:extent cx="5400040" cy="2147857"/>
            <wp:effectExtent l="0" t="0" r="10160" b="5080"/>
            <wp:docPr id="16" name="Gráfico 16">
              <a:extLst xmlns:a="http://schemas.openxmlformats.org/drawingml/2006/main">
                <a:ext uri="{FF2B5EF4-FFF2-40B4-BE49-F238E27FC236}">
                  <a16:creationId xmlns:a16="http://schemas.microsoft.com/office/drawing/2014/main" id="{2BB7789F-7B24-4318-9FF7-734E2C5CFF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4B7B38" w14:textId="77777777" w:rsidR="00720608" w:rsidRPr="001178C4" w:rsidRDefault="00720608" w:rsidP="00720608">
      <w:pPr>
        <w:pStyle w:val="PargrafodaLista"/>
        <w:ind w:left="1428"/>
        <w:rPr>
          <w:sz w:val="24"/>
          <w:szCs w:val="24"/>
        </w:rPr>
      </w:pPr>
    </w:p>
    <w:p w14:paraId="22AA6FAC" w14:textId="77777777" w:rsidR="00C3221D" w:rsidRPr="001178C4" w:rsidRDefault="00C3221D" w:rsidP="00C233CC">
      <w:pPr>
        <w:pStyle w:val="PargrafodaLista"/>
        <w:numPr>
          <w:ilvl w:val="0"/>
          <w:numId w:val="4"/>
        </w:numPr>
        <w:jc w:val="both"/>
        <w:rPr>
          <w:sz w:val="24"/>
          <w:szCs w:val="24"/>
        </w:rPr>
      </w:pPr>
      <w:r w:rsidRPr="001178C4">
        <w:rPr>
          <w:sz w:val="24"/>
          <w:szCs w:val="24"/>
        </w:rPr>
        <w:t>Também a rentabilidade dos capitais próprios apresenta redução, mas ainda mais significativa, de 36,4% para 21,9%.</w:t>
      </w:r>
    </w:p>
    <w:p w14:paraId="5B8C8EEE" w14:textId="77777777" w:rsidR="00C3221D" w:rsidRPr="001178C4" w:rsidRDefault="00C3221D" w:rsidP="00C233CC">
      <w:pPr>
        <w:pStyle w:val="PargrafodaLista"/>
        <w:numPr>
          <w:ilvl w:val="0"/>
          <w:numId w:val="4"/>
        </w:numPr>
        <w:jc w:val="both"/>
        <w:rPr>
          <w:sz w:val="24"/>
          <w:szCs w:val="24"/>
        </w:rPr>
      </w:pPr>
      <w:r w:rsidRPr="001178C4">
        <w:rPr>
          <w:sz w:val="24"/>
          <w:szCs w:val="24"/>
        </w:rPr>
        <w:t>O custo de financiamento, que vinha a baixar nos três anos anteriores e, em 2018, apresentou um mínimo histórico de 1,7%, voltou a aumentar para 3,2%, ainda assim claramente abaixo do valor de 2017.</w:t>
      </w:r>
    </w:p>
    <w:p w14:paraId="4638B51C" w14:textId="77777777" w:rsidR="00A6028F" w:rsidRPr="001178C4" w:rsidRDefault="00C3221D" w:rsidP="00C233CC">
      <w:pPr>
        <w:pStyle w:val="PargrafodaLista"/>
        <w:numPr>
          <w:ilvl w:val="0"/>
          <w:numId w:val="4"/>
        </w:numPr>
        <w:jc w:val="both"/>
        <w:rPr>
          <w:sz w:val="24"/>
          <w:szCs w:val="24"/>
        </w:rPr>
      </w:pPr>
      <w:r w:rsidRPr="001178C4">
        <w:rPr>
          <w:sz w:val="24"/>
          <w:szCs w:val="24"/>
        </w:rPr>
        <w:t>A Liquidez aumenta de forma sensível para 134%</w:t>
      </w:r>
      <w:r w:rsidR="00A6028F" w:rsidRPr="001178C4">
        <w:rPr>
          <w:sz w:val="24"/>
          <w:szCs w:val="24"/>
        </w:rPr>
        <w:t>, o valor mais elevado do período 2013 / 2019.</w:t>
      </w:r>
    </w:p>
    <w:p w14:paraId="30527002" w14:textId="67D4D11D" w:rsidR="00C556F3" w:rsidRPr="001178C4" w:rsidRDefault="00C556F3" w:rsidP="00C233CC">
      <w:pPr>
        <w:pStyle w:val="PargrafodaLista"/>
        <w:numPr>
          <w:ilvl w:val="0"/>
          <w:numId w:val="4"/>
        </w:numPr>
        <w:jc w:val="both"/>
        <w:rPr>
          <w:sz w:val="24"/>
          <w:szCs w:val="24"/>
        </w:rPr>
      </w:pPr>
      <w:r w:rsidRPr="001178C4">
        <w:rPr>
          <w:sz w:val="24"/>
          <w:szCs w:val="24"/>
        </w:rPr>
        <w:t xml:space="preserve">O prazo médio de recebimento </w:t>
      </w:r>
      <w:r w:rsidR="00EC4396" w:rsidRPr="001178C4">
        <w:rPr>
          <w:sz w:val="24"/>
          <w:szCs w:val="24"/>
        </w:rPr>
        <w:t>não registou alteração de 2018 para 2019, mantendo-se assim nos 79 dias, mas o pr</w:t>
      </w:r>
      <w:r w:rsidR="00F073D0">
        <w:rPr>
          <w:sz w:val="24"/>
          <w:szCs w:val="24"/>
        </w:rPr>
        <w:t>a</w:t>
      </w:r>
      <w:r w:rsidR="00EC4396" w:rsidRPr="001178C4">
        <w:rPr>
          <w:sz w:val="24"/>
          <w:szCs w:val="24"/>
        </w:rPr>
        <w:t xml:space="preserve">zo médio </w:t>
      </w:r>
      <w:r w:rsidRPr="001178C4">
        <w:rPr>
          <w:sz w:val="24"/>
          <w:szCs w:val="24"/>
        </w:rPr>
        <w:t xml:space="preserve">de pagamento </w:t>
      </w:r>
      <w:r w:rsidR="00EC4396" w:rsidRPr="001178C4">
        <w:rPr>
          <w:sz w:val="24"/>
          <w:szCs w:val="24"/>
        </w:rPr>
        <w:t>apresenta uma redução muito significativa de 107 para 74 dias. Em ambos os casos, estes prazos não comparam favoravelmente com as médias que se registam no total da atividade económica em Portugal (63 dias no prazo médio de pagamento e 55 dias no prazo médio de recebimento)</w:t>
      </w:r>
      <w:r w:rsidRPr="001178C4">
        <w:rPr>
          <w:sz w:val="24"/>
          <w:szCs w:val="24"/>
        </w:rPr>
        <w:t>.</w:t>
      </w:r>
    </w:p>
    <w:sectPr w:rsidR="00C556F3" w:rsidRPr="001178C4" w:rsidSect="006679F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B22F6" w14:textId="77777777" w:rsidR="00522414" w:rsidRDefault="00522414" w:rsidP="00E036AE">
      <w:pPr>
        <w:spacing w:after="0" w:line="240" w:lineRule="auto"/>
      </w:pPr>
      <w:r>
        <w:separator/>
      </w:r>
    </w:p>
  </w:endnote>
  <w:endnote w:type="continuationSeparator" w:id="0">
    <w:p w14:paraId="18C4CBA9" w14:textId="77777777" w:rsidR="00522414" w:rsidRDefault="00522414" w:rsidP="00E0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F3D64" w14:textId="77777777" w:rsidR="00522414" w:rsidRDefault="00522414" w:rsidP="00E036AE">
      <w:pPr>
        <w:spacing w:after="0" w:line="240" w:lineRule="auto"/>
      </w:pPr>
      <w:r>
        <w:separator/>
      </w:r>
    </w:p>
  </w:footnote>
  <w:footnote w:type="continuationSeparator" w:id="0">
    <w:p w14:paraId="2FC11B3B" w14:textId="77777777" w:rsidR="00522414" w:rsidRDefault="00522414" w:rsidP="00E03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7995"/>
    <w:multiLevelType w:val="hybridMultilevel"/>
    <w:tmpl w:val="466AC992"/>
    <w:lvl w:ilvl="0" w:tplc="08160001">
      <w:start w:val="1"/>
      <w:numFmt w:val="bullet"/>
      <w:lvlText w:val=""/>
      <w:lvlJc w:val="left"/>
      <w:pPr>
        <w:ind w:left="768" w:hanging="360"/>
      </w:pPr>
      <w:rPr>
        <w:rFonts w:ascii="Symbol" w:hAnsi="Symbol" w:hint="default"/>
      </w:rPr>
    </w:lvl>
    <w:lvl w:ilvl="1" w:tplc="08160003" w:tentative="1">
      <w:start w:val="1"/>
      <w:numFmt w:val="bullet"/>
      <w:lvlText w:val="o"/>
      <w:lvlJc w:val="left"/>
      <w:pPr>
        <w:ind w:left="1488" w:hanging="360"/>
      </w:pPr>
      <w:rPr>
        <w:rFonts w:ascii="Courier New" w:hAnsi="Courier New" w:cs="Courier New" w:hint="default"/>
      </w:rPr>
    </w:lvl>
    <w:lvl w:ilvl="2" w:tplc="08160005" w:tentative="1">
      <w:start w:val="1"/>
      <w:numFmt w:val="bullet"/>
      <w:lvlText w:val=""/>
      <w:lvlJc w:val="left"/>
      <w:pPr>
        <w:ind w:left="2208" w:hanging="360"/>
      </w:pPr>
      <w:rPr>
        <w:rFonts w:ascii="Wingdings" w:hAnsi="Wingdings" w:cs="Wingdings" w:hint="default"/>
      </w:rPr>
    </w:lvl>
    <w:lvl w:ilvl="3" w:tplc="08160001" w:tentative="1">
      <w:start w:val="1"/>
      <w:numFmt w:val="bullet"/>
      <w:lvlText w:val=""/>
      <w:lvlJc w:val="left"/>
      <w:pPr>
        <w:ind w:left="2928" w:hanging="360"/>
      </w:pPr>
      <w:rPr>
        <w:rFonts w:ascii="Symbol" w:hAnsi="Symbol" w:cs="Symbol" w:hint="default"/>
      </w:rPr>
    </w:lvl>
    <w:lvl w:ilvl="4" w:tplc="08160003" w:tentative="1">
      <w:start w:val="1"/>
      <w:numFmt w:val="bullet"/>
      <w:lvlText w:val="o"/>
      <w:lvlJc w:val="left"/>
      <w:pPr>
        <w:ind w:left="3648" w:hanging="360"/>
      </w:pPr>
      <w:rPr>
        <w:rFonts w:ascii="Courier New" w:hAnsi="Courier New" w:cs="Courier New" w:hint="default"/>
      </w:rPr>
    </w:lvl>
    <w:lvl w:ilvl="5" w:tplc="08160005" w:tentative="1">
      <w:start w:val="1"/>
      <w:numFmt w:val="bullet"/>
      <w:lvlText w:val=""/>
      <w:lvlJc w:val="left"/>
      <w:pPr>
        <w:ind w:left="4368" w:hanging="360"/>
      </w:pPr>
      <w:rPr>
        <w:rFonts w:ascii="Wingdings" w:hAnsi="Wingdings" w:cs="Wingdings" w:hint="default"/>
      </w:rPr>
    </w:lvl>
    <w:lvl w:ilvl="6" w:tplc="08160001" w:tentative="1">
      <w:start w:val="1"/>
      <w:numFmt w:val="bullet"/>
      <w:lvlText w:val=""/>
      <w:lvlJc w:val="left"/>
      <w:pPr>
        <w:ind w:left="5088" w:hanging="360"/>
      </w:pPr>
      <w:rPr>
        <w:rFonts w:ascii="Symbol" w:hAnsi="Symbol" w:cs="Symbol" w:hint="default"/>
      </w:rPr>
    </w:lvl>
    <w:lvl w:ilvl="7" w:tplc="08160003" w:tentative="1">
      <w:start w:val="1"/>
      <w:numFmt w:val="bullet"/>
      <w:lvlText w:val="o"/>
      <w:lvlJc w:val="left"/>
      <w:pPr>
        <w:ind w:left="5808" w:hanging="360"/>
      </w:pPr>
      <w:rPr>
        <w:rFonts w:ascii="Courier New" w:hAnsi="Courier New" w:cs="Courier New" w:hint="default"/>
      </w:rPr>
    </w:lvl>
    <w:lvl w:ilvl="8" w:tplc="08160005" w:tentative="1">
      <w:start w:val="1"/>
      <w:numFmt w:val="bullet"/>
      <w:lvlText w:val=""/>
      <w:lvlJc w:val="left"/>
      <w:pPr>
        <w:ind w:left="6528" w:hanging="360"/>
      </w:pPr>
      <w:rPr>
        <w:rFonts w:ascii="Wingdings" w:hAnsi="Wingdings" w:cs="Wingdings" w:hint="default"/>
      </w:rPr>
    </w:lvl>
  </w:abstractNum>
  <w:abstractNum w:abstractNumId="1" w15:restartNumberingAfterBreak="0">
    <w:nsid w:val="2DC92332"/>
    <w:multiLevelType w:val="hybridMultilevel"/>
    <w:tmpl w:val="D7E62534"/>
    <w:lvl w:ilvl="0" w:tplc="08160001">
      <w:start w:val="1"/>
      <w:numFmt w:val="bullet"/>
      <w:lvlText w:val=""/>
      <w:lvlJc w:val="left"/>
      <w:pPr>
        <w:ind w:left="1428" w:hanging="360"/>
      </w:pPr>
      <w:rPr>
        <w:rFonts w:ascii="Symbol" w:hAnsi="Symbol" w:cs="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cs="Wingdings" w:hint="default"/>
      </w:rPr>
    </w:lvl>
    <w:lvl w:ilvl="3" w:tplc="08160001" w:tentative="1">
      <w:start w:val="1"/>
      <w:numFmt w:val="bullet"/>
      <w:lvlText w:val=""/>
      <w:lvlJc w:val="left"/>
      <w:pPr>
        <w:ind w:left="3588" w:hanging="360"/>
      </w:pPr>
      <w:rPr>
        <w:rFonts w:ascii="Symbol" w:hAnsi="Symbol" w:cs="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cs="Wingdings" w:hint="default"/>
      </w:rPr>
    </w:lvl>
    <w:lvl w:ilvl="6" w:tplc="08160001" w:tentative="1">
      <w:start w:val="1"/>
      <w:numFmt w:val="bullet"/>
      <w:lvlText w:val=""/>
      <w:lvlJc w:val="left"/>
      <w:pPr>
        <w:ind w:left="5748" w:hanging="360"/>
      </w:pPr>
      <w:rPr>
        <w:rFonts w:ascii="Symbol" w:hAnsi="Symbol" w:cs="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cs="Wingdings" w:hint="default"/>
      </w:rPr>
    </w:lvl>
  </w:abstractNum>
  <w:abstractNum w:abstractNumId="2" w15:restartNumberingAfterBreak="0">
    <w:nsid w:val="4F390876"/>
    <w:multiLevelType w:val="hybridMultilevel"/>
    <w:tmpl w:val="59962AA6"/>
    <w:lvl w:ilvl="0" w:tplc="0816000F">
      <w:start w:val="1"/>
      <w:numFmt w:val="decimal"/>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 w15:restartNumberingAfterBreak="0">
    <w:nsid w:val="679A5C76"/>
    <w:multiLevelType w:val="hybridMultilevel"/>
    <w:tmpl w:val="AC5A7246"/>
    <w:lvl w:ilvl="0" w:tplc="08160001">
      <w:start w:val="1"/>
      <w:numFmt w:val="bullet"/>
      <w:lvlText w:val=""/>
      <w:lvlJc w:val="left"/>
      <w:pPr>
        <w:ind w:left="1428" w:hanging="360"/>
      </w:pPr>
      <w:rPr>
        <w:rFonts w:ascii="Symbol" w:hAnsi="Symbol" w:cs="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cs="Wingdings" w:hint="default"/>
      </w:rPr>
    </w:lvl>
    <w:lvl w:ilvl="3" w:tplc="08160001" w:tentative="1">
      <w:start w:val="1"/>
      <w:numFmt w:val="bullet"/>
      <w:lvlText w:val=""/>
      <w:lvlJc w:val="left"/>
      <w:pPr>
        <w:ind w:left="3588" w:hanging="360"/>
      </w:pPr>
      <w:rPr>
        <w:rFonts w:ascii="Symbol" w:hAnsi="Symbol" w:cs="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cs="Wingdings" w:hint="default"/>
      </w:rPr>
    </w:lvl>
    <w:lvl w:ilvl="6" w:tplc="08160001" w:tentative="1">
      <w:start w:val="1"/>
      <w:numFmt w:val="bullet"/>
      <w:lvlText w:val=""/>
      <w:lvlJc w:val="left"/>
      <w:pPr>
        <w:ind w:left="5748" w:hanging="360"/>
      </w:pPr>
      <w:rPr>
        <w:rFonts w:ascii="Symbol" w:hAnsi="Symbol" w:cs="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9F"/>
    <w:rsid w:val="000305BB"/>
    <w:rsid w:val="000F76E1"/>
    <w:rsid w:val="001178C4"/>
    <w:rsid w:val="00220566"/>
    <w:rsid w:val="00256910"/>
    <w:rsid w:val="00290220"/>
    <w:rsid w:val="002E28FA"/>
    <w:rsid w:val="003900F2"/>
    <w:rsid w:val="003B085B"/>
    <w:rsid w:val="00405233"/>
    <w:rsid w:val="00407108"/>
    <w:rsid w:val="004A5A01"/>
    <w:rsid w:val="004B3229"/>
    <w:rsid w:val="004B519F"/>
    <w:rsid w:val="00522414"/>
    <w:rsid w:val="005C3346"/>
    <w:rsid w:val="006679F7"/>
    <w:rsid w:val="007038F5"/>
    <w:rsid w:val="00720608"/>
    <w:rsid w:val="007239BA"/>
    <w:rsid w:val="007D3598"/>
    <w:rsid w:val="007F0F56"/>
    <w:rsid w:val="00843556"/>
    <w:rsid w:val="008C2B5D"/>
    <w:rsid w:val="00912EA6"/>
    <w:rsid w:val="00A6028F"/>
    <w:rsid w:val="00AE0B00"/>
    <w:rsid w:val="00C233CC"/>
    <w:rsid w:val="00C3221D"/>
    <w:rsid w:val="00C556F3"/>
    <w:rsid w:val="00C70522"/>
    <w:rsid w:val="00C9640D"/>
    <w:rsid w:val="00D5413E"/>
    <w:rsid w:val="00D810C8"/>
    <w:rsid w:val="00DE1D21"/>
    <w:rsid w:val="00E036AE"/>
    <w:rsid w:val="00EC4396"/>
    <w:rsid w:val="00F073D0"/>
    <w:rsid w:val="00F51BD7"/>
    <w:rsid w:val="00F91DA2"/>
    <w:rsid w:val="00FE53D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B5665"/>
  <w15:docId w15:val="{4C37D213-9321-490D-B499-C2D0E535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F7"/>
    <w:pPr>
      <w:spacing w:after="200" w:line="276" w:lineRule="auto"/>
    </w:pPr>
    <w:rPr>
      <w:rFonts w:cs="Calibri"/>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405233"/>
    <w:pPr>
      <w:ind w:left="720"/>
      <w:contextualSpacing/>
    </w:pPr>
  </w:style>
  <w:style w:type="character" w:styleId="Hiperligao">
    <w:name w:val="Hyperlink"/>
    <w:basedOn w:val="Tipodeletrapredefinidodopargrafo"/>
    <w:uiPriority w:val="99"/>
    <w:semiHidden/>
    <w:rsid w:val="007239BA"/>
    <w:rPr>
      <w:color w:val="0000FF"/>
      <w:u w:val="single"/>
    </w:rPr>
  </w:style>
  <w:style w:type="paragraph" w:styleId="Cabealho">
    <w:name w:val="header"/>
    <w:basedOn w:val="Normal"/>
    <w:link w:val="CabealhoCarter"/>
    <w:uiPriority w:val="99"/>
    <w:unhideWhenUsed/>
    <w:rsid w:val="00E036A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036AE"/>
    <w:rPr>
      <w:rFonts w:cs="Calibri"/>
      <w:lang w:eastAsia="en-US"/>
    </w:rPr>
  </w:style>
  <w:style w:type="paragraph" w:styleId="Rodap">
    <w:name w:val="footer"/>
    <w:basedOn w:val="Normal"/>
    <w:link w:val="RodapCarter"/>
    <w:uiPriority w:val="99"/>
    <w:unhideWhenUsed/>
    <w:rsid w:val="00E036A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036AE"/>
    <w:rPr>
      <w:rFonts w:cs="Calibri"/>
      <w:lang w:eastAsia="en-US"/>
    </w:rPr>
  </w:style>
  <w:style w:type="character" w:styleId="Hiperligaovisitada">
    <w:name w:val="FollowedHyperlink"/>
    <w:basedOn w:val="Tipodeletrapredefinidodopargrafo"/>
    <w:uiPriority w:val="99"/>
    <w:semiHidden/>
    <w:unhideWhenUsed/>
    <w:rsid w:val="00F07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Relationships xmlns="http://schemas.openxmlformats.org/package/2006/relationships"><Relationship Target="charts/chart1.xml" Type="http://schemas.openxmlformats.org/officeDocument/2006/relationships/chart" Id="rId8"></Relationship><Relationship Target="charts/chart6.xml" Type="http://schemas.openxmlformats.org/officeDocument/2006/relationships/chart" Id="rId13"></Relationship><Relationship Target="settings.xml" Type="http://schemas.openxmlformats.org/officeDocument/2006/relationships/settings" Id="rId3"></Relationship><Relationship TargetMode="External" Target="https://www.bportugal.pt/QS/qsweb/Dashboards" Type="http://schemas.openxmlformats.org/officeDocument/2006/relationships/hyperlink" Id="rId7"></Relationship><Relationship Target="charts/chart5.xml" Type="http://schemas.openxmlformats.org/officeDocument/2006/relationships/chart" Id="rId12"></Relationship><Relationship Target="theme/theme1.xml" Type="http://schemas.openxmlformats.org/officeDocument/2006/relationships/theme" Id="rId17"></Relationship><Relationship Target="styles.xml" Type="http://schemas.openxmlformats.org/officeDocument/2006/relationships/styles" Id="rId2"></Relationship><Relationship Target="fontTable.xml" Type="http://schemas.openxmlformats.org/officeDocument/2006/relationships/fontTable" Id="rId16"></Relationship><Relationship Target="numbering.xml" Type="http://schemas.openxmlformats.org/officeDocument/2006/relationships/numbering" Id="rId1"></Relationship><Relationship Target="endnotes.xml" Type="http://schemas.openxmlformats.org/officeDocument/2006/relationships/endnotes" Id="rId6"></Relationship><Relationship Target="charts/chart4.xml" Type="http://schemas.openxmlformats.org/officeDocument/2006/relationships/chart" Id="rId11"></Relationship><Relationship Target="footnotes.xml" Type="http://schemas.openxmlformats.org/officeDocument/2006/relationships/footnotes" Id="rId5"></Relationship><Relationship Target="charts/chart8.xml" Type="http://schemas.openxmlformats.org/officeDocument/2006/relationships/chart" Id="rId15"></Relationship><Relationship Target="charts/chart3.xml" Type="http://schemas.openxmlformats.org/officeDocument/2006/relationships/chart" Id="rId10"></Relationship><Relationship Target="webSettings.xml" Type="http://schemas.openxmlformats.org/officeDocument/2006/relationships/webSettings" Id="rId4"></Relationship><Relationship Target="charts/chart2.xml" Type="http://schemas.openxmlformats.org/officeDocument/2006/relationships/chart" Id="rId9"></Relationship><Relationship Target="charts/chart7.xml" Type="http://schemas.openxmlformats.org/officeDocument/2006/relationships/chart" Id="rId14"></Relationship></Relationships>
</file>

<file path=word/charts/_rels/chart6.xml.rels><?xml version="1.0" encoding="UTF-8" ?><Relationships xmlns="http://schemas.openxmlformats.org/package/2006/relationships"><Relationship Target="colors1.xml" Type="http://schemas.microsoft.com/office/2011/relationships/chartColorStyle" Id="rId2"></Relationship><Relationship Target="style1.xml" Type="http://schemas.microsoft.com/office/2011/relationships/chartStyle" Id="rId1"></Relationship></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pt-PT"/>
              <a:t>Empresas por dimensão em 2019</a:t>
            </a:r>
          </a:p>
        </c:rich>
      </c:tx>
      <c:layout>
        <c:manualLayout>
          <c:xMode val="edge"/>
          <c:yMode val="edge"/>
          <c:x val="0.12145791492662608"/>
          <c:y val="8.4615384615384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7166183985529453E-2"/>
          <c:y val="0.40769383899428707"/>
          <c:w val="0.52226823892222074"/>
          <c:h val="0.38461682923989349"/>
        </c:manualLayout>
      </c:layout>
      <c:pie3DChart>
        <c:varyColors val="1"/>
        <c:ser>
          <c:idx val="0"/>
          <c:order val="0"/>
          <c:spPr>
            <a:solidFill>
              <a:srgbClr val="9999FF"/>
            </a:solidFill>
            <a:ln w="12700">
              <a:solidFill>
                <a:srgbClr val="000000"/>
              </a:solidFill>
              <a:prstDash val="solid"/>
            </a:ln>
          </c:spPr>
          <c:explosion val="25"/>
          <c:dPt>
            <c:idx val="0"/>
            <c:bubble3D val="0"/>
            <c:extLst>
              <c:ext xmlns:c16="http://schemas.microsoft.com/office/drawing/2014/chart" uri="{C3380CC4-5D6E-409C-BE32-E72D297353CC}">
                <c16:uniqueId val="{00000000-25DA-4CEE-9DDC-B760CB92511B}"/>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25DA-4CEE-9DDC-B760CB92511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25DA-4CEE-9DDC-B760CB92511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6-25DA-4CEE-9DDC-B760CB92511B}"/>
              </c:ext>
            </c:extLst>
          </c:dPt>
          <c:cat>
            <c:strRef>
              <c:f>Folha1!$B$4:$B$7</c:f>
              <c:strCache>
                <c:ptCount val="4"/>
                <c:pt idx="0">
                  <c:v>Grandes</c:v>
                </c:pt>
                <c:pt idx="1">
                  <c:v>Médias</c:v>
                </c:pt>
                <c:pt idx="2">
                  <c:v>Pequenas</c:v>
                </c:pt>
                <c:pt idx="3">
                  <c:v>Micro</c:v>
                </c:pt>
              </c:strCache>
            </c:strRef>
          </c:cat>
          <c:val>
            <c:numRef>
              <c:f>Folha1!$C$4:$C$7</c:f>
              <c:numCache>
                <c:formatCode>General</c:formatCode>
                <c:ptCount val="4"/>
                <c:pt idx="0">
                  <c:v>10</c:v>
                </c:pt>
                <c:pt idx="1">
                  <c:v>12</c:v>
                </c:pt>
                <c:pt idx="2">
                  <c:v>22</c:v>
                </c:pt>
                <c:pt idx="3">
                  <c:v>65</c:v>
                </c:pt>
              </c:numCache>
            </c:numRef>
          </c:val>
          <c:extLst>
            <c:ext xmlns:c16="http://schemas.microsoft.com/office/drawing/2014/chart" uri="{C3380CC4-5D6E-409C-BE32-E72D297353CC}">
              <c16:uniqueId val="{00000007-25DA-4CEE-9DDC-B760CB92511B}"/>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0040613344384572"/>
          <c:y val="0.30000080759135878"/>
          <c:w val="0.26720690278087711"/>
          <c:h val="0.59231011508176867"/>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pt-PT"/>
        </a:p>
      </c:txPr>
    </c:legend>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pt-PT"/>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pt-PT"/>
              <a:t>Empresas por idade em 2019</a:t>
            </a:r>
          </a:p>
        </c:rich>
      </c:tx>
      <c:layout>
        <c:manualLayout>
          <c:xMode val="edge"/>
          <c:yMode val="edge"/>
          <c:x val="0.17408949387399447"/>
          <c:y val="8.59375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7166183985529453E-2"/>
          <c:y val="0.40625"/>
          <c:w val="0.52226823892222074"/>
          <c:h val="0.390625"/>
        </c:manualLayout>
      </c:layout>
      <c:pie3DChart>
        <c:varyColors val="1"/>
        <c:ser>
          <c:idx val="0"/>
          <c:order val="0"/>
          <c:spPr>
            <a:solidFill>
              <a:srgbClr val="9999FF"/>
            </a:solidFill>
            <a:ln w="12700">
              <a:solidFill>
                <a:srgbClr val="000000"/>
              </a:solidFill>
              <a:prstDash val="solid"/>
            </a:ln>
          </c:spPr>
          <c:explosion val="25"/>
          <c:dPt>
            <c:idx val="0"/>
            <c:bubble3D val="0"/>
            <c:extLst>
              <c:ext xmlns:c16="http://schemas.microsoft.com/office/drawing/2014/chart" uri="{C3380CC4-5D6E-409C-BE32-E72D297353CC}">
                <c16:uniqueId val="{00000000-10C4-4C8F-AB42-C0EDE0922E73}"/>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10C4-4C8F-AB42-C0EDE0922E7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10C4-4C8F-AB42-C0EDE0922E7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6-10C4-4C8F-AB42-C0EDE0922E73}"/>
              </c:ext>
            </c:extLst>
          </c:dPt>
          <c:cat>
            <c:strRef>
              <c:f>Folha1!$B$13:$B$16</c:f>
              <c:strCache>
                <c:ptCount val="4"/>
                <c:pt idx="0">
                  <c:v>&lt; 5 anos</c:v>
                </c:pt>
                <c:pt idx="1">
                  <c:v>6 a 10 anos</c:v>
                </c:pt>
                <c:pt idx="2">
                  <c:v>11 a 20 anos</c:v>
                </c:pt>
                <c:pt idx="3">
                  <c:v>&gt; 20 anos</c:v>
                </c:pt>
              </c:strCache>
            </c:strRef>
          </c:cat>
          <c:val>
            <c:numRef>
              <c:f>Folha1!$C$13:$C$16</c:f>
              <c:numCache>
                <c:formatCode>General</c:formatCode>
                <c:ptCount val="4"/>
                <c:pt idx="0">
                  <c:v>75</c:v>
                </c:pt>
                <c:pt idx="1">
                  <c:v>17</c:v>
                </c:pt>
                <c:pt idx="2">
                  <c:v>11</c:v>
                </c:pt>
                <c:pt idx="3">
                  <c:v>6</c:v>
                </c:pt>
              </c:numCache>
            </c:numRef>
          </c:val>
          <c:extLst>
            <c:ext xmlns:c16="http://schemas.microsoft.com/office/drawing/2014/chart" uri="{C3380CC4-5D6E-409C-BE32-E72D297353CC}">
              <c16:uniqueId val="{00000007-10C4-4C8F-AB42-C0EDE0922E73}"/>
            </c:ext>
          </c:extLst>
        </c:ser>
        <c:ser>
          <c:idx val="1"/>
          <c:order val="1"/>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9-10C4-4C8F-AB42-C0EDE0922E73}"/>
              </c:ext>
            </c:extLst>
          </c:dPt>
          <c:dPt>
            <c:idx val="1"/>
            <c:bubble3D val="0"/>
            <c:extLst>
              <c:ext xmlns:c16="http://schemas.microsoft.com/office/drawing/2014/chart" uri="{C3380CC4-5D6E-409C-BE32-E72D297353CC}">
                <c16:uniqueId val="{0000000A-10C4-4C8F-AB42-C0EDE0922E7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C-10C4-4C8F-AB42-C0EDE0922E7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E-10C4-4C8F-AB42-C0EDE0922E73}"/>
              </c:ext>
            </c:extLst>
          </c:dPt>
          <c:cat>
            <c:strRef>
              <c:f>Folha1!$B$4:$B$7</c:f>
              <c:strCache>
                <c:ptCount val="4"/>
                <c:pt idx="0">
                  <c:v>Grandes</c:v>
                </c:pt>
                <c:pt idx="1">
                  <c:v>Médias</c:v>
                </c:pt>
                <c:pt idx="2">
                  <c:v>Pequenas</c:v>
                </c:pt>
                <c:pt idx="3">
                  <c:v>Micro</c:v>
                </c:pt>
              </c:strCache>
            </c:strRef>
          </c:cat>
          <c:val>
            <c:numRef>
              <c:f>Folha1!$C$4:$C$7</c:f>
              <c:numCache>
                <c:formatCode>General</c:formatCode>
                <c:ptCount val="4"/>
                <c:pt idx="0">
                  <c:v>10</c:v>
                </c:pt>
                <c:pt idx="1">
                  <c:v>12</c:v>
                </c:pt>
                <c:pt idx="2">
                  <c:v>22</c:v>
                </c:pt>
                <c:pt idx="3">
                  <c:v>65</c:v>
                </c:pt>
              </c:numCache>
            </c:numRef>
          </c:val>
          <c:extLst>
            <c:ext xmlns:c16="http://schemas.microsoft.com/office/drawing/2014/chart" uri="{C3380CC4-5D6E-409C-BE32-E72D297353CC}">
              <c16:uniqueId val="{0000000F-10C4-4C8F-AB42-C0EDE0922E73}"/>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3967738850457456"/>
          <c:y val="0.296875"/>
          <c:w val="0.32793607276823189"/>
          <c:h val="0.601562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pt-PT"/>
        </a:p>
      </c:txPr>
    </c:legend>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pt-PT"/>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pt-PT"/>
              <a:t>Peso das Importações nas Vendas em 2019</a:t>
            </a:r>
          </a:p>
        </c:rich>
      </c:tx>
      <c:layout>
        <c:manualLayout>
          <c:xMode val="edge"/>
          <c:yMode val="edge"/>
          <c:x val="0.14574941290233459"/>
          <c:y val="5.46875E-2"/>
        </c:manualLayout>
      </c:layout>
      <c:overlay val="0"/>
      <c:spPr>
        <a:noFill/>
        <a:ln w="25400">
          <a:noFill/>
        </a:ln>
      </c:spPr>
    </c:title>
    <c:autoTitleDeleted val="0"/>
    <c:plotArea>
      <c:layout>
        <c:manualLayout>
          <c:layoutTarget val="inner"/>
          <c:xMode val="edge"/>
          <c:yMode val="edge"/>
          <c:x val="0.20242954996985302"/>
          <c:y val="0.3515625"/>
          <c:w val="0.26315841496080894"/>
          <c:h val="0.5078125"/>
        </c:manualLayout>
      </c:layout>
      <c:pieChart>
        <c:varyColors val="1"/>
        <c:ser>
          <c:idx val="0"/>
          <c:order val="0"/>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1CC0-4AF0-9B92-CB1EAD186122}"/>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1CC0-4AF0-9B92-CB1EAD186122}"/>
              </c:ext>
            </c:extLst>
          </c:dPt>
          <c:cat>
            <c:strRef>
              <c:f>Folha1!$B$21:$B$22</c:f>
              <c:strCache>
                <c:ptCount val="2"/>
                <c:pt idx="0">
                  <c:v>Importações</c:v>
                </c:pt>
                <c:pt idx="1">
                  <c:v>Mercado interno</c:v>
                </c:pt>
              </c:strCache>
            </c:strRef>
          </c:cat>
          <c:val>
            <c:numRef>
              <c:f>Folha1!$C$21:$C$22</c:f>
              <c:numCache>
                <c:formatCode>0.0%</c:formatCode>
                <c:ptCount val="2"/>
                <c:pt idx="0">
                  <c:v>0.154</c:v>
                </c:pt>
                <c:pt idx="1">
                  <c:v>0.84599999999999997</c:v>
                </c:pt>
              </c:numCache>
            </c:numRef>
          </c:val>
          <c:extLst>
            <c:ext xmlns:c16="http://schemas.microsoft.com/office/drawing/2014/chart" uri="{C3380CC4-5D6E-409C-BE32-E72D297353CC}">
              <c16:uniqueId val="{00000003-1CC0-4AF0-9B92-CB1EAD186122}"/>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5587172048838027"/>
          <c:y val="0.34375"/>
          <c:w val="0.31174131573634267"/>
          <c:h val="0.523437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pt-PT"/>
        </a:p>
      </c:txPr>
    </c:legend>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pt-PT"/>
    </a:p>
  </c:tx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pt-PT"/>
              <a:t>Peso das exportações nas Vendas em 2019</a:t>
            </a:r>
          </a:p>
        </c:rich>
      </c:tx>
      <c:layout>
        <c:manualLayout>
          <c:xMode val="edge"/>
          <c:yMode val="edge"/>
          <c:x val="0.14979799589828599"/>
          <c:y val="5.3846153846153849E-2"/>
        </c:manualLayout>
      </c:layout>
      <c:overlay val="0"/>
      <c:spPr>
        <a:noFill/>
        <a:ln w="25400">
          <a:noFill/>
        </a:ln>
      </c:spPr>
    </c:title>
    <c:autoTitleDeleted val="0"/>
    <c:plotArea>
      <c:layout>
        <c:manualLayout>
          <c:layoutTarget val="inner"/>
          <c:xMode val="edge"/>
          <c:yMode val="edge"/>
          <c:x val="0.19433236797105891"/>
          <c:y val="0.34615514631590411"/>
          <c:w val="0.27125559695960305"/>
          <c:h val="0.51538655118145726"/>
        </c:manualLayout>
      </c:layout>
      <c:pieChart>
        <c:varyColors val="1"/>
        <c:ser>
          <c:idx val="0"/>
          <c:order val="0"/>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7869-45C7-94A1-DC0D20142A75}"/>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7869-45C7-94A1-DC0D20142A75}"/>
              </c:ext>
            </c:extLst>
          </c:dPt>
          <c:cat>
            <c:strRef>
              <c:f>Folha1!$B$27:$B$28</c:f>
              <c:strCache>
                <c:ptCount val="2"/>
                <c:pt idx="0">
                  <c:v>Exportações</c:v>
                </c:pt>
                <c:pt idx="1">
                  <c:v>Mercado interno</c:v>
                </c:pt>
              </c:strCache>
            </c:strRef>
          </c:cat>
          <c:val>
            <c:numRef>
              <c:f>Folha1!$C$27:$C$28</c:f>
              <c:numCache>
                <c:formatCode>0.0%</c:formatCode>
                <c:ptCount val="2"/>
                <c:pt idx="0">
                  <c:v>0.63570000000000004</c:v>
                </c:pt>
                <c:pt idx="1">
                  <c:v>0.36429999999999996</c:v>
                </c:pt>
              </c:numCache>
            </c:numRef>
          </c:val>
          <c:extLst>
            <c:ext xmlns:c16="http://schemas.microsoft.com/office/drawing/2014/chart" uri="{C3380CC4-5D6E-409C-BE32-E72D297353CC}">
              <c16:uniqueId val="{00000003-7869-45C7-94A1-DC0D20142A75}"/>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4777455449647747"/>
          <c:y val="0.34615546133656372"/>
          <c:w val="0.31983848172824547"/>
          <c:h val="0.5153862305673329"/>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pt-PT"/>
        </a:p>
      </c:txPr>
    </c:legend>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pt-PT"/>
    </a:p>
  </c:tx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pt-PT"/>
              <a:t>Evolução das Vendas de 2013 a 2019, por destino</a:t>
            </a:r>
          </a:p>
        </c:rich>
      </c:tx>
      <c:layout>
        <c:manualLayout>
          <c:xMode val="edge"/>
          <c:yMode val="edge"/>
          <c:x val="0.17434890778933193"/>
          <c:y val="4.2056074766355138E-2"/>
        </c:manualLayout>
      </c:layout>
      <c:overlay val="0"/>
      <c:spPr>
        <a:noFill/>
        <a:ln w="25400">
          <a:noFill/>
        </a:ln>
      </c:spPr>
    </c:title>
    <c:autoTitleDeleted val="0"/>
    <c:plotArea>
      <c:layout>
        <c:manualLayout>
          <c:layoutTarget val="inner"/>
          <c:xMode val="edge"/>
          <c:yMode val="edge"/>
          <c:x val="0.1062125287807341"/>
          <c:y val="0.29906610293631108"/>
          <c:w val="0.60721502302947994"/>
          <c:h val="0.47196369369636593"/>
        </c:manualLayout>
      </c:layout>
      <c:lineChart>
        <c:grouping val="standard"/>
        <c:varyColors val="0"/>
        <c:ser>
          <c:idx val="0"/>
          <c:order val="0"/>
          <c:tx>
            <c:strRef>
              <c:f>Folha1!$C$33</c:f>
              <c:strCache>
                <c:ptCount val="1"/>
                <c:pt idx="0">
                  <c:v>Merc. Interno</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Folha1!$B$34:$B$40</c:f>
              <c:numCache>
                <c:formatCode>General</c:formatCode>
                <c:ptCount val="7"/>
                <c:pt idx="0">
                  <c:v>2013</c:v>
                </c:pt>
                <c:pt idx="1">
                  <c:v>2014</c:v>
                </c:pt>
                <c:pt idx="2">
                  <c:v>2015</c:v>
                </c:pt>
                <c:pt idx="3">
                  <c:v>2016</c:v>
                </c:pt>
                <c:pt idx="4">
                  <c:v>2017</c:v>
                </c:pt>
                <c:pt idx="5">
                  <c:v>2018</c:v>
                </c:pt>
                <c:pt idx="6">
                  <c:v>2019</c:v>
                </c:pt>
              </c:numCache>
            </c:numRef>
          </c:cat>
          <c:val>
            <c:numRef>
              <c:f>Folha1!$C$34:$C$40</c:f>
              <c:numCache>
                <c:formatCode>General</c:formatCode>
                <c:ptCount val="7"/>
                <c:pt idx="0">
                  <c:v>235</c:v>
                </c:pt>
                <c:pt idx="1">
                  <c:v>235</c:v>
                </c:pt>
                <c:pt idx="2">
                  <c:v>170</c:v>
                </c:pt>
                <c:pt idx="3">
                  <c:v>197</c:v>
                </c:pt>
                <c:pt idx="4">
                  <c:v>231</c:v>
                </c:pt>
                <c:pt idx="5">
                  <c:v>224</c:v>
                </c:pt>
                <c:pt idx="6">
                  <c:v>239</c:v>
                </c:pt>
              </c:numCache>
            </c:numRef>
          </c:val>
          <c:smooth val="0"/>
          <c:extLst>
            <c:ext xmlns:c16="http://schemas.microsoft.com/office/drawing/2014/chart" uri="{C3380CC4-5D6E-409C-BE32-E72D297353CC}">
              <c16:uniqueId val="{00000000-E634-4AD9-B4D3-61E2AC42223E}"/>
            </c:ext>
          </c:extLst>
        </c:ser>
        <c:ser>
          <c:idx val="1"/>
          <c:order val="1"/>
          <c:tx>
            <c:strRef>
              <c:f>Folha1!$D$33</c:f>
              <c:strCache>
                <c:ptCount val="1"/>
                <c:pt idx="0">
                  <c:v>Exportação</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Folha1!$B$34:$B$40</c:f>
              <c:numCache>
                <c:formatCode>General</c:formatCode>
                <c:ptCount val="7"/>
                <c:pt idx="0">
                  <c:v>2013</c:v>
                </c:pt>
                <c:pt idx="1">
                  <c:v>2014</c:v>
                </c:pt>
                <c:pt idx="2">
                  <c:v>2015</c:v>
                </c:pt>
                <c:pt idx="3">
                  <c:v>2016</c:v>
                </c:pt>
                <c:pt idx="4">
                  <c:v>2017</c:v>
                </c:pt>
                <c:pt idx="5">
                  <c:v>2018</c:v>
                </c:pt>
                <c:pt idx="6">
                  <c:v>2019</c:v>
                </c:pt>
              </c:numCache>
            </c:numRef>
          </c:cat>
          <c:val>
            <c:numRef>
              <c:f>Folha1!$D$34:$D$40</c:f>
              <c:numCache>
                <c:formatCode>General</c:formatCode>
                <c:ptCount val="7"/>
                <c:pt idx="0">
                  <c:v>68</c:v>
                </c:pt>
                <c:pt idx="1">
                  <c:v>106</c:v>
                </c:pt>
                <c:pt idx="2">
                  <c:v>144</c:v>
                </c:pt>
                <c:pt idx="3">
                  <c:v>213</c:v>
                </c:pt>
                <c:pt idx="4">
                  <c:v>304</c:v>
                </c:pt>
                <c:pt idx="5">
                  <c:v>369</c:v>
                </c:pt>
                <c:pt idx="6">
                  <c:v>418</c:v>
                </c:pt>
              </c:numCache>
            </c:numRef>
          </c:val>
          <c:smooth val="0"/>
          <c:extLst>
            <c:ext xmlns:c16="http://schemas.microsoft.com/office/drawing/2014/chart" uri="{C3380CC4-5D6E-409C-BE32-E72D297353CC}">
              <c16:uniqueId val="{00000001-E634-4AD9-B4D3-61E2AC42223E}"/>
            </c:ext>
          </c:extLst>
        </c:ser>
        <c:dLbls>
          <c:showLegendKey val="0"/>
          <c:showVal val="0"/>
          <c:showCatName val="0"/>
          <c:showSerName val="0"/>
          <c:showPercent val="0"/>
          <c:showBubbleSize val="0"/>
        </c:dLbls>
        <c:marker val="1"/>
        <c:smooth val="0"/>
        <c:axId val="324485423"/>
        <c:axId val="1"/>
      </c:lineChart>
      <c:catAx>
        <c:axId val="324485423"/>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pt-PT"/>
          </a:p>
        </c:txPr>
        <c:crossAx val="1"/>
        <c:crosses val="autoZero"/>
        <c:auto val="1"/>
        <c:lblAlgn val="ctr"/>
        <c:lblOffset val="100"/>
        <c:tickLblSkip val="1"/>
        <c:tickMarkSkip val="1"/>
        <c:noMultiLvlLbl val="0"/>
      </c:catAx>
      <c:valAx>
        <c:axId val="1"/>
        <c:scaling>
          <c:orientation val="minMax"/>
          <c:max val="500"/>
          <c:min val="5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pt-PT"/>
          </a:p>
        </c:txPr>
        <c:crossAx val="324485423"/>
        <c:crosses val="autoZero"/>
        <c:crossBetween val="between"/>
        <c:majorUnit val="50"/>
        <c:minorUnit val="10"/>
      </c:valAx>
      <c:spPr>
        <a:solidFill>
          <a:srgbClr val="C0C0C0"/>
        </a:solidFill>
        <a:ln w="12700">
          <a:solidFill>
            <a:srgbClr val="808080"/>
          </a:solidFill>
          <a:prstDash val="solid"/>
        </a:ln>
      </c:spPr>
    </c:plotArea>
    <c:legend>
      <c:legendPos val="r"/>
      <c:layout>
        <c:manualLayout>
          <c:xMode val="edge"/>
          <c:yMode val="edge"/>
          <c:x val="0.73547157306739464"/>
          <c:y val="0.42523462604557605"/>
          <c:w val="0.24849720438251832"/>
          <c:h val="0.21962665881718058"/>
        </c:manualLayout>
      </c:layout>
      <c:overlay val="0"/>
      <c:spPr>
        <a:solidFill>
          <a:srgbClr val="FFFFFF"/>
        </a:solidFill>
        <a:ln w="3175">
          <a:solidFill>
            <a:srgbClr val="000000"/>
          </a:solidFill>
          <a:prstDash val="solid"/>
        </a:ln>
      </c:spPr>
      <c:txPr>
        <a:bodyPr/>
        <a:lstStyle/>
        <a:p>
          <a:pPr>
            <a:defRPr sz="1010" b="0" i="0" u="none" strike="noStrike" baseline="0">
              <a:solidFill>
                <a:srgbClr val="000000"/>
              </a:solidFill>
              <a:latin typeface="Arial"/>
              <a:ea typeface="Arial"/>
              <a:cs typeface="Arial"/>
            </a:defRPr>
          </a:pPr>
          <a:endParaRPr lang="pt-PT"/>
        </a:p>
      </c:txPr>
    </c:legend>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pt-PT"/>
    </a:p>
  </c:tx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a:t>Peso da exportação nas vendas de</a:t>
            </a:r>
            <a:r>
              <a:rPr lang="en-US" baseline="0"/>
              <a:t> 2013 a 2019</a:t>
            </a:r>
            <a:endParaRPr lang="en-US"/>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t-PT"/>
        </a:p>
      </c:txPr>
    </c:title>
    <c:autoTitleDeleted val="0"/>
    <c:plotArea>
      <c:layout>
        <c:manualLayout>
          <c:layoutTarget val="inner"/>
          <c:xMode val="edge"/>
          <c:yMode val="edge"/>
          <c:x val="0.14313658792650918"/>
          <c:y val="0.18097222222222226"/>
          <c:w val="0.80914120734908135"/>
          <c:h val="0.69773950131233597"/>
        </c:manualLayout>
      </c:layout>
      <c:scatterChart>
        <c:scatterStyle val="lineMarker"/>
        <c:varyColors val="0"/>
        <c:ser>
          <c:idx val="0"/>
          <c:order val="0"/>
          <c:tx>
            <c:v>Peso da exportação nas vendas</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Folha1!$F$34:$F$40</c:f>
              <c:numCache>
                <c:formatCode>General</c:formatCode>
                <c:ptCount val="7"/>
                <c:pt idx="0">
                  <c:v>2013</c:v>
                </c:pt>
                <c:pt idx="1">
                  <c:v>2014</c:v>
                </c:pt>
                <c:pt idx="2">
                  <c:v>2015</c:v>
                </c:pt>
                <c:pt idx="3">
                  <c:v>2016</c:v>
                </c:pt>
                <c:pt idx="4">
                  <c:v>2017</c:v>
                </c:pt>
                <c:pt idx="5">
                  <c:v>2018</c:v>
                </c:pt>
                <c:pt idx="6">
                  <c:v>2019</c:v>
                </c:pt>
              </c:numCache>
            </c:numRef>
          </c:xVal>
          <c:yVal>
            <c:numRef>
              <c:f>Folha1!$E$34:$E$40</c:f>
              <c:numCache>
                <c:formatCode>0.0%</c:formatCode>
                <c:ptCount val="7"/>
                <c:pt idx="0">
                  <c:v>0.22442244224422442</c:v>
                </c:pt>
                <c:pt idx="1">
                  <c:v>0.31085043988269795</c:v>
                </c:pt>
                <c:pt idx="2">
                  <c:v>0.45859872611464969</c:v>
                </c:pt>
                <c:pt idx="3">
                  <c:v>0.51951219512195124</c:v>
                </c:pt>
                <c:pt idx="4">
                  <c:v>0.5682242990654206</c:v>
                </c:pt>
                <c:pt idx="5">
                  <c:v>0.62225969645868462</c:v>
                </c:pt>
                <c:pt idx="6">
                  <c:v>0.63622526636225263</c:v>
                </c:pt>
              </c:numCache>
            </c:numRef>
          </c:yVal>
          <c:smooth val="0"/>
          <c:extLst>
            <c:ext xmlns:c16="http://schemas.microsoft.com/office/drawing/2014/chart" uri="{C3380CC4-5D6E-409C-BE32-E72D297353CC}">
              <c16:uniqueId val="{00000000-D2D1-4778-BAB8-C84C531D3B33}"/>
            </c:ext>
          </c:extLst>
        </c:ser>
        <c:dLbls>
          <c:showLegendKey val="0"/>
          <c:showVal val="0"/>
          <c:showCatName val="0"/>
          <c:showSerName val="0"/>
          <c:showPercent val="0"/>
          <c:showBubbleSize val="0"/>
        </c:dLbls>
        <c:axId val="503277695"/>
        <c:axId val="557081839"/>
      </c:scatterChart>
      <c:valAx>
        <c:axId val="50327769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557081839"/>
        <c:crosses val="autoZero"/>
        <c:crossBetween val="midCat"/>
      </c:valAx>
      <c:valAx>
        <c:axId val="557081839"/>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503277695"/>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pt-PT"/>
              <a:t>Principais Indicadores financeiros em 2019</a:t>
            </a:r>
          </a:p>
        </c:rich>
      </c:tx>
      <c:layout>
        <c:manualLayout>
          <c:xMode val="edge"/>
          <c:yMode val="edge"/>
          <c:x val="0.12675684162504516"/>
          <c:y val="4.1666666666666664E-2"/>
        </c:manualLayout>
      </c:layout>
      <c:overlay val="0"/>
      <c:spPr>
        <a:noFill/>
        <a:ln w="25400">
          <a:noFill/>
        </a:ln>
      </c:spPr>
    </c:title>
    <c:autoTitleDeleted val="0"/>
    <c:plotArea>
      <c:layout>
        <c:manualLayout>
          <c:layoutTarget val="inner"/>
          <c:xMode val="edge"/>
          <c:yMode val="edge"/>
          <c:x val="0.1309255079006772"/>
          <c:y val="0.25"/>
          <c:w val="0.83747178329571104"/>
          <c:h val="0.35294117647058826"/>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Folha1!$B$43:$B$48</c:f>
              <c:strCache>
                <c:ptCount val="6"/>
                <c:pt idx="0">
                  <c:v>Ativos</c:v>
                </c:pt>
                <c:pt idx="1">
                  <c:v>Capitais Próprios</c:v>
                </c:pt>
                <c:pt idx="2">
                  <c:v>Passivo</c:v>
                </c:pt>
                <c:pt idx="3">
                  <c:v>Faturação</c:v>
                </c:pt>
                <c:pt idx="4">
                  <c:v>EBITDA</c:v>
                </c:pt>
                <c:pt idx="5">
                  <c:v>Resultados liquidos</c:v>
                </c:pt>
              </c:strCache>
            </c:strRef>
          </c:cat>
          <c:val>
            <c:numRef>
              <c:f>Folha1!$C$43:$C$48</c:f>
              <c:numCache>
                <c:formatCode>General</c:formatCode>
                <c:ptCount val="6"/>
                <c:pt idx="0">
                  <c:v>402</c:v>
                </c:pt>
                <c:pt idx="1">
                  <c:v>127.5</c:v>
                </c:pt>
                <c:pt idx="2">
                  <c:v>274.5</c:v>
                </c:pt>
                <c:pt idx="3">
                  <c:v>657.1</c:v>
                </c:pt>
                <c:pt idx="4">
                  <c:v>59.8</c:v>
                </c:pt>
                <c:pt idx="5">
                  <c:v>28</c:v>
                </c:pt>
              </c:numCache>
            </c:numRef>
          </c:val>
          <c:extLst>
            <c:ext xmlns:c16="http://schemas.microsoft.com/office/drawing/2014/chart" uri="{C3380CC4-5D6E-409C-BE32-E72D297353CC}">
              <c16:uniqueId val="{00000000-A71C-4AF8-8608-AE25F21FF96B}"/>
            </c:ext>
          </c:extLst>
        </c:ser>
        <c:dLbls>
          <c:showLegendKey val="0"/>
          <c:showVal val="0"/>
          <c:showCatName val="0"/>
          <c:showSerName val="0"/>
          <c:showPercent val="0"/>
          <c:showBubbleSize val="0"/>
        </c:dLbls>
        <c:gapWidth val="150"/>
        <c:axId val="324464623"/>
        <c:axId val="1"/>
      </c:barChart>
      <c:catAx>
        <c:axId val="324464623"/>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pt-P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t-PT"/>
          </a:p>
        </c:txPr>
        <c:crossAx val="324464623"/>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pt-PT"/>
    </a:p>
  </c:tx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pt-PT"/>
              <a:t>Evolução de indicadores de 2013 a 2019</a:t>
            </a:r>
          </a:p>
        </c:rich>
      </c:tx>
      <c:layout>
        <c:manualLayout>
          <c:xMode val="edge"/>
          <c:yMode val="edge"/>
          <c:x val="0.1743121674010932"/>
          <c:y val="4.4444444444444446E-2"/>
        </c:manualLayout>
      </c:layout>
      <c:overlay val="0"/>
      <c:spPr>
        <a:noFill/>
        <a:ln w="25400">
          <a:noFill/>
        </a:ln>
      </c:spPr>
    </c:title>
    <c:autoTitleDeleted val="0"/>
    <c:plotArea>
      <c:layout>
        <c:manualLayout>
          <c:layoutTarget val="inner"/>
          <c:xMode val="edge"/>
          <c:yMode val="edge"/>
          <c:x val="0.18595767259770823"/>
          <c:y val="0.18307052527524964"/>
          <c:w val="0.58662103146237932"/>
          <c:h val="0.61508197838906498"/>
        </c:manualLayout>
      </c:layout>
      <c:lineChart>
        <c:grouping val="standard"/>
        <c:varyColors val="0"/>
        <c:ser>
          <c:idx val="0"/>
          <c:order val="0"/>
          <c:tx>
            <c:strRef>
              <c:f>Folha1!$B$53</c:f>
              <c:strCache>
                <c:ptCount val="1"/>
                <c:pt idx="0">
                  <c:v>Rentabilidade do ativo</c:v>
                </c:pt>
              </c:strCache>
            </c:strRef>
          </c:tx>
          <c:spPr>
            <a:ln w="12700">
              <a:solidFill>
                <a:srgbClr val="000000"/>
              </a:solidFill>
              <a:prstDash val="solid"/>
            </a:ln>
          </c:spPr>
          <c:marker>
            <c:symbol val="none"/>
          </c:marker>
          <c:cat>
            <c:numRef>
              <c:f>Folha1!$C$52:$I$52</c:f>
              <c:numCache>
                <c:formatCode>General</c:formatCode>
                <c:ptCount val="7"/>
                <c:pt idx="0">
                  <c:v>2013</c:v>
                </c:pt>
                <c:pt idx="1">
                  <c:v>2014</c:v>
                </c:pt>
                <c:pt idx="2">
                  <c:v>2015</c:v>
                </c:pt>
                <c:pt idx="3">
                  <c:v>2016</c:v>
                </c:pt>
                <c:pt idx="4">
                  <c:v>2017</c:v>
                </c:pt>
                <c:pt idx="5">
                  <c:v>2018</c:v>
                </c:pt>
                <c:pt idx="6">
                  <c:v>2019</c:v>
                </c:pt>
              </c:numCache>
            </c:numRef>
          </c:cat>
          <c:val>
            <c:numRef>
              <c:f>Folha1!$C$53:$I$53</c:f>
              <c:numCache>
                <c:formatCode>0.0%</c:formatCode>
                <c:ptCount val="7"/>
                <c:pt idx="0">
                  <c:v>0.20100000000000001</c:v>
                </c:pt>
                <c:pt idx="1">
                  <c:v>0.20499999999999999</c:v>
                </c:pt>
                <c:pt idx="2">
                  <c:v>0.20499999999999999</c:v>
                </c:pt>
                <c:pt idx="3">
                  <c:v>0.253</c:v>
                </c:pt>
                <c:pt idx="4">
                  <c:v>0.23100000000000001</c:v>
                </c:pt>
                <c:pt idx="5">
                  <c:v>0.16500000000000001</c:v>
                </c:pt>
                <c:pt idx="6">
                  <c:v>0.14899999999999999</c:v>
                </c:pt>
              </c:numCache>
            </c:numRef>
          </c:val>
          <c:smooth val="0"/>
          <c:extLst>
            <c:ext xmlns:c16="http://schemas.microsoft.com/office/drawing/2014/chart" uri="{C3380CC4-5D6E-409C-BE32-E72D297353CC}">
              <c16:uniqueId val="{00000000-07F2-4187-893C-78DAAB6FEB8D}"/>
            </c:ext>
          </c:extLst>
        </c:ser>
        <c:ser>
          <c:idx val="1"/>
          <c:order val="1"/>
          <c:tx>
            <c:strRef>
              <c:f>Folha1!$B$54</c:f>
              <c:strCache>
                <c:ptCount val="1"/>
                <c:pt idx="0">
                  <c:v>Rentab. Cap. Próprios</c:v>
                </c:pt>
              </c:strCache>
            </c:strRef>
          </c:tx>
          <c:spPr>
            <a:ln w="12700">
              <a:solidFill>
                <a:srgbClr val="000000"/>
              </a:solidFill>
              <a:prstDash val="solid"/>
            </a:ln>
          </c:spPr>
          <c:marker>
            <c:symbol val="none"/>
          </c:marker>
          <c:cat>
            <c:numRef>
              <c:f>Folha1!$C$52:$I$52</c:f>
              <c:numCache>
                <c:formatCode>General</c:formatCode>
                <c:ptCount val="7"/>
                <c:pt idx="0">
                  <c:v>2013</c:v>
                </c:pt>
                <c:pt idx="1">
                  <c:v>2014</c:v>
                </c:pt>
                <c:pt idx="2">
                  <c:v>2015</c:v>
                </c:pt>
                <c:pt idx="3">
                  <c:v>2016</c:v>
                </c:pt>
                <c:pt idx="4">
                  <c:v>2017</c:v>
                </c:pt>
                <c:pt idx="5">
                  <c:v>2018</c:v>
                </c:pt>
                <c:pt idx="6">
                  <c:v>2019</c:v>
                </c:pt>
              </c:numCache>
            </c:numRef>
          </c:cat>
          <c:val>
            <c:numRef>
              <c:f>Folha1!$C$54:$I$54</c:f>
              <c:numCache>
                <c:formatCode>0.0%</c:formatCode>
                <c:ptCount val="7"/>
                <c:pt idx="0">
                  <c:v>0.34</c:v>
                </c:pt>
                <c:pt idx="1">
                  <c:v>0.42899999999999999</c:v>
                </c:pt>
                <c:pt idx="2">
                  <c:v>0.36699999999999999</c:v>
                </c:pt>
                <c:pt idx="3">
                  <c:v>0.44800000000000001</c:v>
                </c:pt>
                <c:pt idx="4">
                  <c:v>0.41399999999999998</c:v>
                </c:pt>
                <c:pt idx="5">
                  <c:v>0.36399999999999999</c:v>
                </c:pt>
                <c:pt idx="6">
                  <c:v>0.21899999999999997</c:v>
                </c:pt>
              </c:numCache>
            </c:numRef>
          </c:val>
          <c:smooth val="0"/>
          <c:extLst>
            <c:ext xmlns:c16="http://schemas.microsoft.com/office/drawing/2014/chart" uri="{C3380CC4-5D6E-409C-BE32-E72D297353CC}">
              <c16:uniqueId val="{00000001-07F2-4187-893C-78DAAB6FEB8D}"/>
            </c:ext>
          </c:extLst>
        </c:ser>
        <c:ser>
          <c:idx val="2"/>
          <c:order val="2"/>
          <c:tx>
            <c:strRef>
              <c:f>Folha1!$B$55</c:f>
              <c:strCache>
                <c:ptCount val="1"/>
                <c:pt idx="0">
                  <c:v>Liquidez</c:v>
                </c:pt>
              </c:strCache>
            </c:strRef>
          </c:tx>
          <c:spPr>
            <a:ln w="12700">
              <a:solidFill>
                <a:srgbClr val="000000"/>
              </a:solidFill>
              <a:prstDash val="solid"/>
            </a:ln>
          </c:spPr>
          <c:marker>
            <c:symbol val="none"/>
          </c:marker>
          <c:cat>
            <c:numRef>
              <c:f>Folha1!$C$52:$I$52</c:f>
              <c:numCache>
                <c:formatCode>General</c:formatCode>
                <c:ptCount val="7"/>
                <c:pt idx="0">
                  <c:v>2013</c:v>
                </c:pt>
                <c:pt idx="1">
                  <c:v>2014</c:v>
                </c:pt>
                <c:pt idx="2">
                  <c:v>2015</c:v>
                </c:pt>
                <c:pt idx="3">
                  <c:v>2016</c:v>
                </c:pt>
                <c:pt idx="4">
                  <c:v>2017</c:v>
                </c:pt>
                <c:pt idx="5">
                  <c:v>2018</c:v>
                </c:pt>
                <c:pt idx="6">
                  <c:v>2019</c:v>
                </c:pt>
              </c:numCache>
            </c:numRef>
          </c:cat>
          <c:val>
            <c:numRef>
              <c:f>Folha1!$C$55:$I$55</c:f>
              <c:numCache>
                <c:formatCode>0.0%</c:formatCode>
                <c:ptCount val="7"/>
                <c:pt idx="0">
                  <c:v>1.323</c:v>
                </c:pt>
                <c:pt idx="1">
                  <c:v>1.3140000000000001</c:v>
                </c:pt>
                <c:pt idx="2">
                  <c:v>1.3220000000000001</c:v>
                </c:pt>
                <c:pt idx="3">
                  <c:v>1.236</c:v>
                </c:pt>
                <c:pt idx="4">
                  <c:v>1.252</c:v>
                </c:pt>
                <c:pt idx="5">
                  <c:v>1.175</c:v>
                </c:pt>
                <c:pt idx="6">
                  <c:v>1.34</c:v>
                </c:pt>
              </c:numCache>
            </c:numRef>
          </c:val>
          <c:smooth val="0"/>
          <c:extLst>
            <c:ext xmlns:c16="http://schemas.microsoft.com/office/drawing/2014/chart" uri="{C3380CC4-5D6E-409C-BE32-E72D297353CC}">
              <c16:uniqueId val="{00000002-07F2-4187-893C-78DAAB6FEB8D}"/>
            </c:ext>
          </c:extLst>
        </c:ser>
        <c:ser>
          <c:idx val="3"/>
          <c:order val="3"/>
          <c:tx>
            <c:strRef>
              <c:f>Folha1!$B$56</c:f>
              <c:strCache>
                <c:ptCount val="1"/>
                <c:pt idx="0">
                  <c:v>Custo financiamento</c:v>
                </c:pt>
              </c:strCache>
            </c:strRef>
          </c:tx>
          <c:spPr>
            <a:ln w="12700">
              <a:solidFill>
                <a:srgbClr val="000000"/>
              </a:solidFill>
              <a:prstDash val="solid"/>
            </a:ln>
          </c:spPr>
          <c:marker>
            <c:symbol val="none"/>
          </c:marker>
          <c:cat>
            <c:numRef>
              <c:f>Folha1!$C$52:$I$52</c:f>
              <c:numCache>
                <c:formatCode>General</c:formatCode>
                <c:ptCount val="7"/>
                <c:pt idx="0">
                  <c:v>2013</c:v>
                </c:pt>
                <c:pt idx="1">
                  <c:v>2014</c:v>
                </c:pt>
                <c:pt idx="2">
                  <c:v>2015</c:v>
                </c:pt>
                <c:pt idx="3">
                  <c:v>2016</c:v>
                </c:pt>
                <c:pt idx="4">
                  <c:v>2017</c:v>
                </c:pt>
                <c:pt idx="5">
                  <c:v>2018</c:v>
                </c:pt>
                <c:pt idx="6">
                  <c:v>2019</c:v>
                </c:pt>
              </c:numCache>
            </c:numRef>
          </c:cat>
          <c:val>
            <c:numRef>
              <c:f>Folha1!$C$56:$I$56</c:f>
              <c:numCache>
                <c:formatCode>0.0%</c:formatCode>
                <c:ptCount val="7"/>
                <c:pt idx="0">
                  <c:v>7.4999999999999997E-2</c:v>
                </c:pt>
                <c:pt idx="1">
                  <c:v>6.4000000000000001E-2</c:v>
                </c:pt>
                <c:pt idx="2">
                  <c:v>6.7000000000000004E-2</c:v>
                </c:pt>
                <c:pt idx="3">
                  <c:v>9.8000000000000004E-2</c:v>
                </c:pt>
                <c:pt idx="4">
                  <c:v>5.7000000000000002E-2</c:v>
                </c:pt>
                <c:pt idx="5">
                  <c:v>1.7000000000000001E-2</c:v>
                </c:pt>
                <c:pt idx="6">
                  <c:v>3.2000000000000001E-2</c:v>
                </c:pt>
              </c:numCache>
            </c:numRef>
          </c:val>
          <c:smooth val="0"/>
          <c:extLst>
            <c:ext xmlns:c16="http://schemas.microsoft.com/office/drawing/2014/chart" uri="{C3380CC4-5D6E-409C-BE32-E72D297353CC}">
              <c16:uniqueId val="{00000003-07F2-4187-893C-78DAAB6FEB8D}"/>
            </c:ext>
          </c:extLst>
        </c:ser>
        <c:dLbls>
          <c:showLegendKey val="0"/>
          <c:showVal val="0"/>
          <c:showCatName val="0"/>
          <c:showSerName val="0"/>
          <c:showPercent val="0"/>
          <c:showBubbleSize val="0"/>
        </c:dLbls>
        <c:smooth val="0"/>
        <c:axId val="324485823"/>
        <c:axId val="1"/>
      </c:lineChart>
      <c:catAx>
        <c:axId val="324485823"/>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pt-PT"/>
          </a:p>
        </c:txPr>
        <c:crossAx val="1"/>
        <c:crosses val="autoZero"/>
        <c:auto val="1"/>
        <c:lblAlgn val="ctr"/>
        <c:lblOffset val="100"/>
        <c:noMultiLvlLbl val="0"/>
      </c:catAx>
      <c:valAx>
        <c:axId val="1"/>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pt-PT"/>
          </a:p>
        </c:txPr>
        <c:crossAx val="324485823"/>
        <c:crosses val="autoZero"/>
        <c:crossBetween val="between"/>
      </c:valAx>
      <c:spPr>
        <a:solidFill>
          <a:srgbClr val="C0C0C0"/>
        </a:solidFill>
        <a:ln w="12700">
          <a:solidFill>
            <a:srgbClr val="808080"/>
          </a:solidFill>
          <a:prstDash val="solid"/>
        </a:ln>
      </c:spPr>
    </c:plotArea>
    <c:legend>
      <c:legendPos val="r"/>
      <c:layout>
        <c:manualLayout>
          <c:xMode val="edge"/>
          <c:yMode val="edge"/>
          <c:x val="0.79526373878712009"/>
          <c:y val="0.10370603674540682"/>
          <c:w val="0.18638880452737389"/>
          <c:h val="0.79815048118985132"/>
        </c:manualLayout>
      </c:layout>
      <c:overlay val="0"/>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pt-PT"/>
        </a:p>
      </c:txPr>
    </c:legend>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pt-PT"/>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715</Words>
  <Characters>3689</Characters>
  <Application>Microsoft Office Word</Application>
  <DocSecurity>0</DocSecurity>
  <Lines>92</Lines>
  <Paragraphs>22</Paragraphs>
  <ScaleCrop>false</ScaleCrop>
  <HeadingPairs>
    <vt:vector size="2" baseType="variant">
      <vt:variant>
        <vt:lpstr>Título</vt:lpstr>
      </vt:variant>
      <vt:variant>
        <vt:i4>1</vt:i4>
      </vt:variant>
    </vt:vector>
  </HeadingPairs>
  <TitlesOfParts>
    <vt:vector size="1" baseType="lpstr">
      <vt:lpstr>Os Contact Centers na Central de Balanços do Banco de Portugal</vt:lpstr>
    </vt:vector>
  </TitlesOfParts>
  <Manager/>
  <Company/>
  <LinksUpToDate>false</LinksUpToDate>
  <CharactersWithSpaces>4404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Contact Centers na Central de Balanços do Banco de Portugal</dc:title>
  <dc:subject/>
  <dc:creator>Ana Gonçalves</dc:creator>
  <cp:keywords/>
  <dc:description/>
  <cp:lastModifiedBy>Utilizador do Microsoft Office</cp:lastModifiedBy>
  <cp:revision>9</cp:revision>
  <dcterms:created xsi:type="dcterms:W3CDTF">2020-11-13T14:43:00Z</dcterms:created>
  <dcterms:modified xsi:type="dcterms:W3CDTF">2020-11-20T13:38:00Z</dcterms:modified>
  <cp:category/>
</cp:coreProperties>
</file>